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5320B"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1FBD9AB4" w14:textId="7777777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293C55FC"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47E4A28A"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2D6E8D06" w14:textId="77777777" w:rsidTr="00B827F2">
        <w:trPr>
          <w:trHeight w:val="421"/>
        </w:trPr>
        <w:tc>
          <w:tcPr>
            <w:tcW w:w="3510" w:type="dxa"/>
            <w:tcBorders>
              <w:right w:val="single" w:sz="8" w:space="0" w:color="7BA0CD"/>
            </w:tcBorders>
            <w:shd w:val="clear" w:color="auto" w:fill="auto"/>
          </w:tcPr>
          <w:p w14:paraId="0ABB73D3"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54571FDF" w14:textId="77777777" w:rsidR="00A145F7" w:rsidRPr="00B07AE8" w:rsidRDefault="00ED5FF5" w:rsidP="00B07AE8">
            <w:pPr>
              <w:tabs>
                <w:tab w:val="left" w:pos="8514"/>
              </w:tabs>
              <w:spacing w:before="60" w:after="60"/>
              <w:rPr>
                <w:rFonts w:ascii="Calibri" w:hAnsi="Calibri" w:cs="Calibri"/>
                <w:bCs/>
                <w:sz w:val="22"/>
                <w:szCs w:val="22"/>
              </w:rPr>
            </w:pPr>
            <w:r>
              <w:rPr>
                <w:rFonts w:ascii="Calibri" w:hAnsi="Calibri" w:cs="Calibri"/>
                <w:bCs/>
                <w:sz w:val="22"/>
                <w:szCs w:val="22"/>
              </w:rPr>
              <w:t>AANAPISI</w:t>
            </w:r>
          </w:p>
        </w:tc>
      </w:tr>
      <w:tr w:rsidR="008A6DE4" w:rsidRPr="00005608" w14:paraId="27B7D0DA" w14:textId="77777777" w:rsidTr="00B827F2">
        <w:trPr>
          <w:trHeight w:val="421"/>
        </w:trPr>
        <w:tc>
          <w:tcPr>
            <w:tcW w:w="3510" w:type="dxa"/>
            <w:tcBorders>
              <w:right w:val="single" w:sz="8" w:space="0" w:color="7BA0CD"/>
            </w:tcBorders>
            <w:shd w:val="clear" w:color="auto" w:fill="auto"/>
          </w:tcPr>
          <w:p w14:paraId="0524DEF3"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7289B37E" w14:textId="77777777" w:rsidR="00A145F7" w:rsidRPr="00B07AE8" w:rsidRDefault="00ED5FF5" w:rsidP="00B95077">
            <w:pPr>
              <w:tabs>
                <w:tab w:val="left" w:pos="8514"/>
              </w:tabs>
              <w:spacing w:before="60" w:after="60"/>
              <w:rPr>
                <w:rFonts w:ascii="Calibri" w:hAnsi="Calibri" w:cs="Calibri"/>
                <w:bCs/>
                <w:sz w:val="22"/>
                <w:szCs w:val="22"/>
              </w:rPr>
            </w:pPr>
            <w:r>
              <w:rPr>
                <w:rFonts w:ascii="Calibri" w:hAnsi="Calibri" w:cs="Calibri"/>
                <w:bCs/>
                <w:sz w:val="22"/>
                <w:szCs w:val="22"/>
              </w:rPr>
              <w:t>July 2</w:t>
            </w:r>
            <w:r w:rsidR="00B95077">
              <w:rPr>
                <w:rFonts w:ascii="Calibri" w:hAnsi="Calibri" w:cs="Calibri"/>
                <w:bCs/>
                <w:sz w:val="22"/>
                <w:szCs w:val="22"/>
              </w:rPr>
              <w:t>9</w:t>
            </w:r>
            <w:r>
              <w:rPr>
                <w:rFonts w:ascii="Calibri" w:hAnsi="Calibri" w:cs="Calibri"/>
                <w:bCs/>
                <w:sz w:val="22"/>
                <w:szCs w:val="22"/>
              </w:rPr>
              <w:t>, 2020</w:t>
            </w:r>
          </w:p>
        </w:tc>
      </w:tr>
      <w:tr w:rsidR="008A6DE4" w:rsidRPr="00005608" w14:paraId="511FA115" w14:textId="77777777" w:rsidTr="00B827F2">
        <w:trPr>
          <w:trHeight w:val="421"/>
        </w:trPr>
        <w:tc>
          <w:tcPr>
            <w:tcW w:w="3510" w:type="dxa"/>
            <w:tcBorders>
              <w:right w:val="single" w:sz="8" w:space="0" w:color="7BA0CD"/>
            </w:tcBorders>
            <w:shd w:val="clear" w:color="auto" w:fill="auto"/>
          </w:tcPr>
          <w:p w14:paraId="51D3FA36"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4C32BA3D" w14:textId="77777777" w:rsidR="00A145F7" w:rsidRPr="00B07AE8" w:rsidRDefault="00B95077" w:rsidP="00B95077">
            <w:pPr>
              <w:tabs>
                <w:tab w:val="left" w:pos="8514"/>
              </w:tabs>
              <w:spacing w:before="60" w:after="60"/>
              <w:rPr>
                <w:rFonts w:ascii="Calibri" w:hAnsi="Calibri" w:cs="Calibri"/>
                <w:bCs/>
                <w:sz w:val="22"/>
                <w:szCs w:val="22"/>
              </w:rPr>
            </w:pPr>
            <w:r>
              <w:rPr>
                <w:rFonts w:ascii="Calibri" w:hAnsi="Calibri" w:cs="Calibri"/>
                <w:bCs/>
                <w:sz w:val="22"/>
                <w:szCs w:val="22"/>
              </w:rPr>
              <w:t>May Lukens, Project Director; Malaelupe Samifua, AANAPISI Center Program Specialist; Tessa Bowen, Admin Assistant; Skyler Roth, IR Management Analyst ; Krystal Welch, Cohort Learning Community Program Manager</w:t>
            </w:r>
          </w:p>
        </w:tc>
      </w:tr>
      <w:tr w:rsidR="008A6DE4" w:rsidRPr="00005608" w14:paraId="7548AED3" w14:textId="77777777" w:rsidTr="0079014B">
        <w:trPr>
          <w:trHeight w:val="367"/>
        </w:trPr>
        <w:tc>
          <w:tcPr>
            <w:tcW w:w="3510" w:type="dxa"/>
            <w:tcBorders>
              <w:bottom w:val="single" w:sz="8" w:space="0" w:color="7BA0CD"/>
              <w:right w:val="single" w:sz="8" w:space="0" w:color="7BA0CD"/>
            </w:tcBorders>
            <w:shd w:val="clear" w:color="auto" w:fill="auto"/>
          </w:tcPr>
          <w:p w14:paraId="4573842F"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A2EBF1" w14:textId="77777777"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344279D5" w14:textId="77777777" w:rsidR="00B827F2" w:rsidRPr="00B07AE8" w:rsidRDefault="00ED5FF5" w:rsidP="00B07AE8">
            <w:pPr>
              <w:pStyle w:val="ListParagraph"/>
              <w:tabs>
                <w:tab w:val="left" w:pos="281"/>
              </w:tabs>
              <w:spacing w:before="60" w:after="60"/>
              <w:ind w:left="0"/>
              <w:contextualSpacing w:val="0"/>
              <w:rPr>
                <w:rFonts w:ascii="Calibri" w:hAnsi="Calibri" w:cs="Calibri"/>
                <w:bCs/>
                <w:sz w:val="22"/>
                <w:szCs w:val="22"/>
              </w:rPr>
            </w:pPr>
            <w:r>
              <w:rPr>
                <w:rFonts w:ascii="Calibri" w:hAnsi="Calibri" w:cs="Calibri"/>
                <w:bCs/>
                <w:sz w:val="22"/>
                <w:szCs w:val="22"/>
              </w:rPr>
              <w:t>To improve academic outcomes among students, as well as engagement and satisfaction among faculty, parents, and com</w:t>
            </w:r>
            <w:r w:rsidR="002B2B6F">
              <w:rPr>
                <w:rFonts w:ascii="Calibri" w:hAnsi="Calibri" w:cs="Calibri"/>
                <w:bCs/>
                <w:sz w:val="22"/>
                <w:szCs w:val="22"/>
              </w:rPr>
              <w:t>mu</w:t>
            </w:r>
            <w:r>
              <w:rPr>
                <w:rFonts w:ascii="Calibri" w:hAnsi="Calibri" w:cs="Calibri"/>
                <w:bCs/>
                <w:sz w:val="22"/>
                <w:szCs w:val="22"/>
              </w:rPr>
              <w:t>nity members.</w:t>
            </w:r>
          </w:p>
        </w:tc>
      </w:tr>
    </w:tbl>
    <w:p w14:paraId="0067DBAD" w14:textId="77777777" w:rsidR="00A145F7" w:rsidRPr="00A7479D" w:rsidRDefault="00A145F7" w:rsidP="00A7479D">
      <w:pPr>
        <w:tabs>
          <w:tab w:val="left" w:pos="8514"/>
        </w:tabs>
        <w:rPr>
          <w:rFonts w:ascii="Calibri" w:hAnsi="Calibri" w:cs="Calibri"/>
          <w:sz w:val="12"/>
          <w:szCs w:val="12"/>
        </w:rPr>
      </w:pPr>
    </w:p>
    <w:tbl>
      <w:tblPr>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18F2BF9E" w14:textId="77777777" w:rsidTr="0067085C">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2B633B9D" w14:textId="77777777"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08A48A5" w14:textId="77777777" w:rsidTr="0067085C">
        <w:trPr>
          <w:trHeight w:val="421"/>
        </w:trPr>
        <w:tc>
          <w:tcPr>
            <w:tcW w:w="9450" w:type="dxa"/>
            <w:shd w:val="clear" w:color="auto" w:fill="CAD8EC"/>
          </w:tcPr>
          <w:p w14:paraId="33ADE07F" w14:textId="77777777"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67085C" w:rsidRPr="00CD5739" w14:paraId="4F326F31" w14:textId="77777777" w:rsidTr="0067085C">
        <w:trPr>
          <w:trHeight w:val="1375"/>
        </w:trPr>
        <w:tc>
          <w:tcPr>
            <w:tcW w:w="9450" w:type="dxa"/>
            <w:shd w:val="clear" w:color="auto" w:fill="auto"/>
          </w:tcPr>
          <w:tbl>
            <w:tblPr>
              <w:tblStyle w:val="TableGrid"/>
              <w:tblW w:w="0" w:type="auto"/>
              <w:tblLayout w:type="fixed"/>
              <w:tblLook w:val="04A0" w:firstRow="1" w:lastRow="0" w:firstColumn="1" w:lastColumn="0" w:noHBand="0" w:noVBand="1"/>
            </w:tblPr>
            <w:tblGrid>
              <w:gridCol w:w="3074"/>
              <w:gridCol w:w="3075"/>
              <w:gridCol w:w="3075"/>
            </w:tblGrid>
            <w:tr w:rsidR="00CF446B" w14:paraId="5BEAA1B7" w14:textId="77777777" w:rsidTr="00CF446B">
              <w:tc>
                <w:tcPr>
                  <w:tcW w:w="3074" w:type="dxa"/>
                  <w:shd w:val="pct5" w:color="auto" w:fill="auto"/>
                </w:tcPr>
                <w:p w14:paraId="4411B9FB" w14:textId="77777777" w:rsidR="00CF446B" w:rsidRPr="00CF446B" w:rsidRDefault="00CF446B" w:rsidP="00893D2E">
                  <w:pPr>
                    <w:tabs>
                      <w:tab w:val="left" w:pos="281"/>
                    </w:tabs>
                    <w:spacing w:after="80"/>
                    <w:rPr>
                      <w:rFonts w:ascii="Calibri" w:hAnsi="Calibri" w:cs="Calibri"/>
                      <w:bCs/>
                      <w:sz w:val="20"/>
                      <w:szCs w:val="20"/>
                    </w:rPr>
                  </w:pPr>
                  <w:bookmarkStart w:id="0" w:name="_Hlk45816568"/>
                  <w:r w:rsidRPr="00CF446B">
                    <w:rPr>
                      <w:rFonts w:ascii="Calibri" w:hAnsi="Calibri" w:cs="Calibri"/>
                      <w:bCs/>
                      <w:sz w:val="20"/>
                      <w:szCs w:val="20"/>
                    </w:rPr>
                    <w:t>Major accomplishment</w:t>
                  </w:r>
                </w:p>
              </w:tc>
              <w:tc>
                <w:tcPr>
                  <w:tcW w:w="3075" w:type="dxa"/>
                  <w:shd w:val="pct5" w:color="auto" w:fill="auto"/>
                </w:tcPr>
                <w:p w14:paraId="7718BC6E" w14:textId="77777777" w:rsidR="00CF446B" w:rsidRPr="00CF446B" w:rsidRDefault="00CF446B" w:rsidP="00893D2E">
                  <w:pPr>
                    <w:tabs>
                      <w:tab w:val="left" w:pos="281"/>
                    </w:tabs>
                    <w:spacing w:after="80"/>
                    <w:rPr>
                      <w:rFonts w:ascii="Calibri" w:hAnsi="Calibri" w:cs="Calibri"/>
                      <w:bCs/>
                      <w:sz w:val="20"/>
                      <w:szCs w:val="20"/>
                    </w:rPr>
                  </w:pPr>
                  <w:r w:rsidRPr="00CF446B">
                    <w:rPr>
                      <w:rFonts w:ascii="Calibri" w:hAnsi="Calibri" w:cs="Calibri"/>
                      <w:bCs/>
                      <w:sz w:val="20"/>
                      <w:szCs w:val="20"/>
                    </w:rPr>
                    <w:t>Related objective/MFR indicator</w:t>
                  </w:r>
                </w:p>
              </w:tc>
              <w:tc>
                <w:tcPr>
                  <w:tcW w:w="3075" w:type="dxa"/>
                  <w:shd w:val="pct5" w:color="auto" w:fill="auto"/>
                </w:tcPr>
                <w:p w14:paraId="0B01B788" w14:textId="77777777" w:rsidR="00CF446B" w:rsidRPr="00CF446B" w:rsidRDefault="00CF446B" w:rsidP="00893D2E">
                  <w:pPr>
                    <w:tabs>
                      <w:tab w:val="left" w:pos="281"/>
                    </w:tabs>
                    <w:spacing w:after="80"/>
                    <w:rPr>
                      <w:rFonts w:ascii="Calibri" w:hAnsi="Calibri" w:cs="Calibri"/>
                      <w:bCs/>
                      <w:sz w:val="20"/>
                      <w:szCs w:val="20"/>
                    </w:rPr>
                  </w:pPr>
                  <w:r w:rsidRPr="00CF446B">
                    <w:rPr>
                      <w:rFonts w:ascii="Calibri" w:hAnsi="Calibri" w:cs="Calibri"/>
                      <w:bCs/>
                      <w:sz w:val="20"/>
                      <w:szCs w:val="20"/>
                    </w:rPr>
                    <w:t>Evidence of accomplishment</w:t>
                  </w:r>
                </w:p>
              </w:tc>
            </w:tr>
            <w:tr w:rsidR="00CF446B" w14:paraId="69CF878D" w14:textId="77777777" w:rsidTr="00CF446B">
              <w:tc>
                <w:tcPr>
                  <w:tcW w:w="3074" w:type="dxa"/>
                </w:tcPr>
                <w:p w14:paraId="534AC3FE" w14:textId="77777777" w:rsidR="00E17F09" w:rsidRPr="00E17F09" w:rsidRDefault="00D84523" w:rsidP="00D84523">
                  <w:pPr>
                    <w:ind w:left="15"/>
                    <w:rPr>
                      <w:rFonts w:eastAsiaTheme="minorHAnsi"/>
                      <w:sz w:val="22"/>
                      <w:szCs w:val="22"/>
                    </w:rPr>
                  </w:pPr>
                  <w:r w:rsidRPr="00E17F09">
                    <w:rPr>
                      <w:rFonts w:eastAsiaTheme="minorHAnsi"/>
                      <w:sz w:val="22"/>
                      <w:szCs w:val="22"/>
                    </w:rPr>
                    <w:t xml:space="preserve">Promote a welcoming AANAPISI Center environment to attract and engage </w:t>
                  </w:r>
                  <w:r w:rsidR="004A3379" w:rsidRPr="00E17F09">
                    <w:rPr>
                      <w:rFonts w:eastAsiaTheme="minorHAnsi"/>
                      <w:sz w:val="22"/>
                      <w:szCs w:val="22"/>
                    </w:rPr>
                    <w:t xml:space="preserve">students </w:t>
                  </w:r>
                  <w:r w:rsidRPr="00E17F09">
                    <w:rPr>
                      <w:rFonts w:eastAsiaTheme="minorHAnsi"/>
                      <w:sz w:val="22"/>
                      <w:szCs w:val="22"/>
                    </w:rPr>
                    <w:t>AAPI students</w:t>
                  </w:r>
                  <w:r w:rsidR="004A3379" w:rsidRPr="00E17F09">
                    <w:rPr>
                      <w:rFonts w:eastAsiaTheme="minorHAnsi"/>
                      <w:sz w:val="22"/>
                      <w:szCs w:val="22"/>
                    </w:rPr>
                    <w:t>.</w:t>
                  </w:r>
                  <w:r w:rsidR="00E17F09" w:rsidRPr="00E17F09">
                    <w:rPr>
                      <w:rFonts w:eastAsiaTheme="minorHAnsi"/>
                      <w:sz w:val="22"/>
                      <w:szCs w:val="22"/>
                    </w:rPr>
                    <w:t xml:space="preserve"> Since Spring 2016, 244 students have enrolled in AANAPISI Center programming, 59 new student enrollments in the 2019-2020 academic year. A large number of non-enrolled AANAPISI Program students participate in and utilize the AANAPISI Center resources, as well.  The Center welcomes all.</w:t>
                  </w:r>
                </w:p>
                <w:p w14:paraId="764DD14B" w14:textId="77777777" w:rsidR="00E17F09" w:rsidRPr="00E17F09" w:rsidRDefault="00E17F09" w:rsidP="00D84523">
                  <w:pPr>
                    <w:ind w:left="15"/>
                    <w:rPr>
                      <w:rFonts w:eastAsiaTheme="minorHAnsi"/>
                      <w:sz w:val="22"/>
                      <w:szCs w:val="22"/>
                    </w:rPr>
                  </w:pPr>
                </w:p>
                <w:p w14:paraId="22632B46" w14:textId="77777777" w:rsidR="00202EE9" w:rsidRPr="00E17F09" w:rsidRDefault="00E17F09" w:rsidP="00D84523">
                  <w:pPr>
                    <w:ind w:left="15"/>
                    <w:rPr>
                      <w:rFonts w:eastAsiaTheme="minorHAnsi"/>
                      <w:sz w:val="22"/>
                      <w:szCs w:val="22"/>
                    </w:rPr>
                  </w:pPr>
                  <w:r w:rsidRPr="00E17F09">
                    <w:rPr>
                      <w:rFonts w:eastAsiaTheme="minorHAnsi"/>
                      <w:sz w:val="22"/>
                      <w:szCs w:val="22"/>
                    </w:rPr>
                    <w:t>A</w:t>
                  </w:r>
                  <w:r w:rsidR="007D499D" w:rsidRPr="00E17F09">
                    <w:rPr>
                      <w:rFonts w:eastAsiaTheme="minorHAnsi"/>
                      <w:sz w:val="22"/>
                      <w:szCs w:val="22"/>
                    </w:rPr>
                    <w:t xml:space="preserve">ANAPISI Center offers </w:t>
                  </w:r>
                  <w:r w:rsidR="00F504E2" w:rsidRPr="00E17F09">
                    <w:rPr>
                      <w:rFonts w:eastAsiaTheme="minorHAnsi"/>
                      <w:sz w:val="22"/>
                      <w:szCs w:val="22"/>
                    </w:rPr>
                    <w:t xml:space="preserve">AAPI-focused </w:t>
                  </w:r>
                  <w:r w:rsidR="007D499D" w:rsidRPr="00E17F09">
                    <w:rPr>
                      <w:rFonts w:eastAsiaTheme="minorHAnsi"/>
                      <w:sz w:val="22"/>
                      <w:szCs w:val="22"/>
                    </w:rPr>
                    <w:t>holistic</w:t>
                  </w:r>
                  <w:r w:rsidR="00F504E2" w:rsidRPr="00E17F09">
                    <w:rPr>
                      <w:rFonts w:eastAsiaTheme="minorHAnsi"/>
                      <w:sz w:val="22"/>
                      <w:szCs w:val="22"/>
                    </w:rPr>
                    <w:t xml:space="preserve"> </w:t>
                  </w:r>
                  <w:r w:rsidR="007D499D" w:rsidRPr="00E17F09">
                    <w:rPr>
                      <w:rFonts w:eastAsiaTheme="minorHAnsi"/>
                      <w:sz w:val="22"/>
                      <w:szCs w:val="22"/>
                    </w:rPr>
                    <w:t>a</w:t>
                  </w:r>
                  <w:r w:rsidR="00202EE9" w:rsidRPr="00E17F09">
                    <w:rPr>
                      <w:rFonts w:eastAsiaTheme="minorHAnsi"/>
                      <w:sz w:val="22"/>
                      <w:szCs w:val="22"/>
                    </w:rPr>
                    <w:t xml:space="preserve">cademic </w:t>
                  </w:r>
                  <w:r w:rsidR="00F504E2" w:rsidRPr="00E17F09">
                    <w:rPr>
                      <w:rFonts w:eastAsiaTheme="minorHAnsi"/>
                      <w:sz w:val="22"/>
                      <w:szCs w:val="22"/>
                    </w:rPr>
                    <w:t xml:space="preserve">support and community </w:t>
                  </w:r>
                  <w:r w:rsidR="007D499D" w:rsidRPr="00E17F09">
                    <w:rPr>
                      <w:rFonts w:eastAsiaTheme="minorHAnsi"/>
                      <w:sz w:val="22"/>
                      <w:szCs w:val="22"/>
                    </w:rPr>
                    <w:t>(drop-in advising, study hall, peer mentoring, tutoring support).</w:t>
                  </w:r>
                  <w:r w:rsidR="00F504E2" w:rsidRPr="00E17F09">
                    <w:rPr>
                      <w:rFonts w:eastAsiaTheme="minorHAnsi"/>
                      <w:sz w:val="22"/>
                      <w:szCs w:val="22"/>
                    </w:rPr>
                    <w:t xml:space="preserve"> S</w:t>
                  </w:r>
                  <w:r w:rsidR="00202EE9" w:rsidRPr="00E17F09">
                    <w:rPr>
                      <w:rFonts w:eastAsiaTheme="minorHAnsi"/>
                      <w:sz w:val="22"/>
                      <w:szCs w:val="22"/>
                    </w:rPr>
                    <w:t xml:space="preserve">upport was expanded to </w:t>
                  </w:r>
                  <w:r w:rsidR="00F504E2" w:rsidRPr="00E17F09">
                    <w:rPr>
                      <w:rFonts w:eastAsiaTheme="minorHAnsi"/>
                      <w:sz w:val="22"/>
                      <w:szCs w:val="22"/>
                    </w:rPr>
                    <w:t>welcome</w:t>
                  </w:r>
                  <w:r w:rsidR="00202EE9" w:rsidRPr="00E17F09">
                    <w:rPr>
                      <w:rFonts w:eastAsiaTheme="minorHAnsi"/>
                      <w:sz w:val="22"/>
                      <w:szCs w:val="22"/>
                    </w:rPr>
                    <w:t xml:space="preserve"> (non-AAPI) affiliated students.</w:t>
                  </w:r>
                </w:p>
                <w:p w14:paraId="517FEE2D" w14:textId="77777777" w:rsidR="00202EE9" w:rsidRPr="00E17F09" w:rsidRDefault="00202EE9" w:rsidP="00D84523">
                  <w:pPr>
                    <w:ind w:left="15"/>
                    <w:rPr>
                      <w:rFonts w:eastAsiaTheme="minorHAnsi"/>
                      <w:sz w:val="22"/>
                      <w:szCs w:val="22"/>
                    </w:rPr>
                  </w:pPr>
                  <w:r w:rsidRPr="00E17F09">
                    <w:rPr>
                      <w:rFonts w:eastAsiaTheme="minorHAnsi"/>
                      <w:sz w:val="22"/>
                      <w:szCs w:val="22"/>
                    </w:rPr>
                    <w:t xml:space="preserve">Regular study hall and office hours were scheduled each day.  During COVID, study hall and office hours were offered virtually through Spring Quarter.  Over the Summer, students can contact the AANAPISI Program Specialist </w:t>
                  </w:r>
                  <w:r w:rsidR="007D499D" w:rsidRPr="00E17F09">
                    <w:rPr>
                      <w:rFonts w:eastAsiaTheme="minorHAnsi"/>
                      <w:sz w:val="22"/>
                      <w:szCs w:val="22"/>
                    </w:rPr>
                    <w:t xml:space="preserve">(Malaelupe Samifua) </w:t>
                  </w:r>
                  <w:r w:rsidRPr="00E17F09">
                    <w:rPr>
                      <w:rFonts w:eastAsiaTheme="minorHAnsi"/>
                      <w:sz w:val="22"/>
                      <w:szCs w:val="22"/>
                    </w:rPr>
                    <w:t>directly.</w:t>
                  </w:r>
                </w:p>
                <w:p w14:paraId="33E114B5" w14:textId="77777777" w:rsidR="00202EE9" w:rsidRPr="00E17F09" w:rsidRDefault="00202EE9" w:rsidP="00D84523">
                  <w:pPr>
                    <w:ind w:left="15"/>
                    <w:rPr>
                      <w:rFonts w:eastAsiaTheme="minorHAnsi"/>
                      <w:sz w:val="22"/>
                      <w:szCs w:val="22"/>
                    </w:rPr>
                  </w:pPr>
                </w:p>
                <w:p w14:paraId="5CE42DDB" w14:textId="77777777" w:rsidR="00F504E2" w:rsidRPr="00E17F09" w:rsidRDefault="00F504E2" w:rsidP="00D84523">
                  <w:pPr>
                    <w:ind w:left="15"/>
                    <w:rPr>
                      <w:rFonts w:eastAsiaTheme="minorHAnsi"/>
                      <w:sz w:val="22"/>
                      <w:szCs w:val="22"/>
                    </w:rPr>
                  </w:pPr>
                </w:p>
                <w:p w14:paraId="38C01D0D" w14:textId="77777777" w:rsidR="00F504E2" w:rsidRPr="00E17F09" w:rsidRDefault="00F504E2" w:rsidP="00D84523">
                  <w:pPr>
                    <w:ind w:left="15"/>
                    <w:rPr>
                      <w:rFonts w:eastAsiaTheme="minorHAnsi"/>
                      <w:sz w:val="22"/>
                      <w:szCs w:val="22"/>
                    </w:rPr>
                  </w:pPr>
                </w:p>
                <w:p w14:paraId="3D27442E" w14:textId="77777777" w:rsidR="003647AE" w:rsidRPr="00E17F09" w:rsidRDefault="00202EE9" w:rsidP="00202EE9">
                  <w:pPr>
                    <w:rPr>
                      <w:rFonts w:eastAsiaTheme="minorHAnsi"/>
                      <w:sz w:val="22"/>
                      <w:szCs w:val="22"/>
                    </w:rPr>
                  </w:pPr>
                  <w:r w:rsidRPr="00E17F09">
                    <w:rPr>
                      <w:rFonts w:eastAsiaTheme="minorHAnsi"/>
                      <w:sz w:val="22"/>
                      <w:szCs w:val="22"/>
                    </w:rPr>
                    <w:lastRenderedPageBreak/>
                    <w:t>Collaborations with other ethnic cohort learning communities and student support areas</w:t>
                  </w:r>
                  <w:r w:rsidR="003647AE" w:rsidRPr="00E17F09">
                    <w:rPr>
                      <w:rFonts w:eastAsiaTheme="minorHAnsi"/>
                      <w:sz w:val="22"/>
                      <w:szCs w:val="22"/>
                    </w:rPr>
                    <w:t xml:space="preserve"> provided f</w:t>
                  </w:r>
                  <w:r w:rsidRPr="00E17F09">
                    <w:rPr>
                      <w:rFonts w:eastAsiaTheme="minorHAnsi"/>
                      <w:sz w:val="22"/>
                      <w:szCs w:val="22"/>
                    </w:rPr>
                    <w:t xml:space="preserve">ield trips to experiential learning opportunities. </w:t>
                  </w:r>
                  <w:r w:rsidR="003647AE" w:rsidRPr="00E17F09">
                    <w:rPr>
                      <w:rFonts w:eastAsiaTheme="minorHAnsi"/>
                      <w:sz w:val="22"/>
                      <w:szCs w:val="22"/>
                    </w:rPr>
                    <w:t xml:space="preserve">Due to </w:t>
                  </w:r>
                  <w:r w:rsidRPr="00E17F09">
                    <w:rPr>
                      <w:rFonts w:eastAsiaTheme="minorHAnsi"/>
                      <w:sz w:val="22"/>
                      <w:szCs w:val="22"/>
                    </w:rPr>
                    <w:t>COVID travel restrictions</w:t>
                  </w:r>
                  <w:r w:rsidR="003647AE" w:rsidRPr="00E17F09">
                    <w:rPr>
                      <w:rFonts w:eastAsiaTheme="minorHAnsi"/>
                      <w:sz w:val="22"/>
                      <w:szCs w:val="22"/>
                    </w:rPr>
                    <w:t>, field trips to four-year campuses were conducted virtually.</w:t>
                  </w:r>
                </w:p>
                <w:p w14:paraId="266F64FD" w14:textId="77777777" w:rsidR="00202EE9" w:rsidRPr="00E17F09" w:rsidRDefault="00202EE9" w:rsidP="00D84523">
                  <w:pPr>
                    <w:ind w:left="15"/>
                    <w:rPr>
                      <w:rFonts w:eastAsiaTheme="minorHAnsi"/>
                      <w:sz w:val="22"/>
                      <w:szCs w:val="22"/>
                    </w:rPr>
                  </w:pPr>
                </w:p>
                <w:p w14:paraId="1A82144E" w14:textId="77777777" w:rsidR="00202EE9" w:rsidRPr="00E17F09" w:rsidRDefault="00202EE9" w:rsidP="00D84523">
                  <w:pPr>
                    <w:ind w:left="15"/>
                    <w:rPr>
                      <w:rFonts w:eastAsiaTheme="minorHAnsi"/>
                      <w:sz w:val="22"/>
                      <w:szCs w:val="22"/>
                    </w:rPr>
                  </w:pPr>
                  <w:r w:rsidRPr="00E17F09">
                    <w:rPr>
                      <w:rFonts w:eastAsiaTheme="minorHAnsi"/>
                      <w:sz w:val="22"/>
                      <w:szCs w:val="22"/>
                    </w:rPr>
                    <w:t>Student Ambassadors were hired, trained, developed and mentored as campus leaders and student advocates, and as peer mentors to fellow students.</w:t>
                  </w:r>
                </w:p>
                <w:p w14:paraId="0B51B860" w14:textId="77777777" w:rsidR="00CF446B" w:rsidRPr="00E17F09" w:rsidRDefault="00CF446B" w:rsidP="00D84523">
                  <w:pPr>
                    <w:tabs>
                      <w:tab w:val="left" w:pos="281"/>
                    </w:tabs>
                    <w:spacing w:after="80"/>
                    <w:rPr>
                      <w:bCs/>
                      <w:sz w:val="22"/>
                      <w:szCs w:val="22"/>
                    </w:rPr>
                  </w:pPr>
                </w:p>
              </w:tc>
              <w:tc>
                <w:tcPr>
                  <w:tcW w:w="3075" w:type="dxa"/>
                </w:tcPr>
                <w:p w14:paraId="591AEBA7" w14:textId="77777777" w:rsidR="00CF446B" w:rsidRPr="00E17F09" w:rsidRDefault="00782B91" w:rsidP="00893D2E">
                  <w:pPr>
                    <w:tabs>
                      <w:tab w:val="left" w:pos="281"/>
                    </w:tabs>
                    <w:spacing w:after="80"/>
                    <w:rPr>
                      <w:bCs/>
                      <w:sz w:val="22"/>
                      <w:szCs w:val="22"/>
                    </w:rPr>
                  </w:pPr>
                  <w:r w:rsidRPr="00E17F09">
                    <w:rPr>
                      <w:bCs/>
                      <w:sz w:val="22"/>
                      <w:szCs w:val="22"/>
                    </w:rPr>
                    <w:lastRenderedPageBreak/>
                    <w:t>1.1.3: Students participate in organizations and activities that provide support, mentoring, or leadership opportunities on campus and in the community.</w:t>
                  </w:r>
                </w:p>
              </w:tc>
              <w:tc>
                <w:tcPr>
                  <w:tcW w:w="3075" w:type="dxa"/>
                </w:tcPr>
                <w:p w14:paraId="78CF4905" w14:textId="77777777" w:rsidR="00202EE9" w:rsidRPr="00E17F09" w:rsidRDefault="00202EE9" w:rsidP="00202EE9">
                  <w:pPr>
                    <w:tabs>
                      <w:tab w:val="left" w:pos="281"/>
                    </w:tabs>
                    <w:spacing w:after="80"/>
                    <w:rPr>
                      <w:bCs/>
                      <w:sz w:val="22"/>
                      <w:szCs w:val="22"/>
                    </w:rPr>
                  </w:pPr>
                  <w:r w:rsidRPr="00E17F09">
                    <w:rPr>
                      <w:bCs/>
                      <w:sz w:val="22"/>
                      <w:szCs w:val="22"/>
                    </w:rPr>
                    <w:t>Grant Objective 2.3</w:t>
                  </w:r>
                </w:p>
                <w:p w14:paraId="43313F79" w14:textId="77777777" w:rsidR="00202EE9" w:rsidRPr="00E17F09" w:rsidRDefault="00202EE9" w:rsidP="00202EE9">
                  <w:pPr>
                    <w:tabs>
                      <w:tab w:val="left" w:pos="281"/>
                    </w:tabs>
                    <w:spacing w:after="80"/>
                    <w:rPr>
                      <w:bCs/>
                      <w:sz w:val="22"/>
                      <w:szCs w:val="22"/>
                    </w:rPr>
                  </w:pPr>
                  <w:r w:rsidRPr="00E17F09">
                    <w:rPr>
                      <w:bCs/>
                      <w:sz w:val="22"/>
                      <w:szCs w:val="22"/>
                    </w:rPr>
                    <w:t>Increased Highline AANAPISI student satisfaction and engagement.</w:t>
                  </w:r>
                </w:p>
                <w:p w14:paraId="535CEC22" w14:textId="77777777" w:rsidR="00202EE9" w:rsidRPr="00E17F09" w:rsidRDefault="00202EE9" w:rsidP="00202EE9">
                  <w:pPr>
                    <w:tabs>
                      <w:tab w:val="left" w:pos="281"/>
                    </w:tabs>
                    <w:spacing w:after="80"/>
                    <w:rPr>
                      <w:bCs/>
                      <w:sz w:val="22"/>
                      <w:szCs w:val="22"/>
                    </w:rPr>
                  </w:pPr>
                  <w:r w:rsidRPr="00E17F09">
                    <w:rPr>
                      <w:bCs/>
                      <w:sz w:val="22"/>
                      <w:szCs w:val="22"/>
                    </w:rPr>
                    <w:t xml:space="preserve">A student satisfaction survey was created during Year 4 and sent to students to measure satisfaction and engagement with AANAPISI programming based on Community College Survey of Student Engagement (CSSEE) measures for satisfaction of "support of learners". The satisfaction rate of AAPI respondents was 52% compared to the overall campus at 51.5%, higher than the national CSSEE satisfaction rate of 50% in this category. </w:t>
                  </w:r>
                </w:p>
                <w:p w14:paraId="2EDBB2C3" w14:textId="77777777" w:rsidR="00202EE9" w:rsidRPr="00E17F09" w:rsidRDefault="00202EE9" w:rsidP="00202EE9">
                  <w:pPr>
                    <w:tabs>
                      <w:tab w:val="left" w:pos="281"/>
                    </w:tabs>
                    <w:spacing w:after="80"/>
                    <w:rPr>
                      <w:bCs/>
                      <w:sz w:val="22"/>
                      <w:szCs w:val="22"/>
                    </w:rPr>
                  </w:pPr>
                  <w:r w:rsidRPr="00E17F09">
                    <w:rPr>
                      <w:bCs/>
                      <w:sz w:val="22"/>
                      <w:szCs w:val="22"/>
                    </w:rPr>
                    <w:t xml:space="preserve">A survey was created in 2019 to measure whether "the AANAPISI program helped me to succeed". The target </w:t>
                  </w:r>
                  <w:r w:rsidR="00C27AFF" w:rsidRPr="00E17F09">
                    <w:rPr>
                      <w:bCs/>
                      <w:sz w:val="22"/>
                      <w:szCs w:val="22"/>
                    </w:rPr>
                    <w:t>of 73</w:t>
                  </w:r>
                  <w:r w:rsidRPr="00E17F09">
                    <w:rPr>
                      <w:bCs/>
                      <w:sz w:val="22"/>
                      <w:szCs w:val="22"/>
                    </w:rPr>
                    <w:t xml:space="preserve">% </w:t>
                  </w:r>
                  <w:r w:rsidRPr="00E17F09">
                    <w:rPr>
                      <w:bCs/>
                      <w:sz w:val="22"/>
                      <w:szCs w:val="22"/>
                    </w:rPr>
                    <w:lastRenderedPageBreak/>
                    <w:t>was exceeded with actual performance at 80%.</w:t>
                  </w:r>
                </w:p>
                <w:p w14:paraId="3D65B796" w14:textId="77777777" w:rsidR="00202EE9" w:rsidRPr="00E17F09" w:rsidRDefault="00202EE9" w:rsidP="00202EE9">
                  <w:pPr>
                    <w:tabs>
                      <w:tab w:val="left" w:pos="281"/>
                    </w:tabs>
                    <w:spacing w:after="80"/>
                    <w:rPr>
                      <w:bCs/>
                      <w:sz w:val="22"/>
                      <w:szCs w:val="22"/>
                    </w:rPr>
                  </w:pPr>
                </w:p>
                <w:p w14:paraId="0240B9AE" w14:textId="77777777" w:rsidR="00202EE9" w:rsidRPr="00E17F09" w:rsidRDefault="00202EE9" w:rsidP="00202EE9">
                  <w:pPr>
                    <w:tabs>
                      <w:tab w:val="left" w:pos="281"/>
                    </w:tabs>
                    <w:spacing w:after="80"/>
                    <w:rPr>
                      <w:bCs/>
                      <w:sz w:val="22"/>
                      <w:szCs w:val="22"/>
                    </w:rPr>
                  </w:pPr>
                  <w:r w:rsidRPr="00E17F09">
                    <w:rPr>
                      <w:bCs/>
                      <w:sz w:val="22"/>
                      <w:szCs w:val="22"/>
                    </w:rPr>
                    <w:t xml:space="preserve">Student testimonials: </w:t>
                  </w:r>
                </w:p>
                <w:p w14:paraId="082006EE" w14:textId="77777777" w:rsidR="00202EE9" w:rsidRPr="00E17F09" w:rsidRDefault="00202EE9" w:rsidP="00202EE9">
                  <w:pPr>
                    <w:tabs>
                      <w:tab w:val="left" w:pos="281"/>
                    </w:tabs>
                    <w:spacing w:after="80"/>
                    <w:rPr>
                      <w:bCs/>
                      <w:sz w:val="22"/>
                      <w:szCs w:val="22"/>
                    </w:rPr>
                  </w:pPr>
                  <w:r w:rsidRPr="00E17F09">
                    <w:rPr>
                      <w:bCs/>
                      <w:sz w:val="22"/>
                      <w:szCs w:val="22"/>
                    </w:rPr>
                    <w:t>AANAPISI-related satisfaction, on a scale of 1-5 (4 being somewhat satisfied and 5 very satisfied), the average responses were:</w:t>
                  </w:r>
                </w:p>
                <w:p w14:paraId="4FB68D36" w14:textId="77777777" w:rsidR="00202EE9" w:rsidRPr="00E17F09" w:rsidRDefault="00202EE9" w:rsidP="00202EE9">
                  <w:pPr>
                    <w:tabs>
                      <w:tab w:val="left" w:pos="281"/>
                    </w:tabs>
                    <w:spacing w:after="80"/>
                    <w:rPr>
                      <w:bCs/>
                      <w:sz w:val="22"/>
                      <w:szCs w:val="22"/>
                    </w:rPr>
                  </w:pPr>
                  <w:r w:rsidRPr="00E17F09">
                    <w:rPr>
                      <w:bCs/>
                      <w:sz w:val="22"/>
                      <w:szCs w:val="22"/>
                    </w:rPr>
                    <w:t>"AANAPISI students and employees make me feel welcome." 5.0</w:t>
                  </w:r>
                </w:p>
                <w:p w14:paraId="29543CA8" w14:textId="77777777" w:rsidR="00202EE9" w:rsidRPr="00E17F09" w:rsidRDefault="00202EE9" w:rsidP="00202EE9">
                  <w:pPr>
                    <w:tabs>
                      <w:tab w:val="left" w:pos="281"/>
                    </w:tabs>
                    <w:spacing w:after="80"/>
                    <w:rPr>
                      <w:bCs/>
                      <w:sz w:val="22"/>
                      <w:szCs w:val="22"/>
                    </w:rPr>
                  </w:pPr>
                  <w:r w:rsidRPr="00E17F09">
                    <w:rPr>
                      <w:bCs/>
                      <w:sz w:val="22"/>
                      <w:szCs w:val="22"/>
                    </w:rPr>
                    <w:t>"Representatives of AANAPISI treat me fairly and show concern for my success." 4.67 "Representatives of AANAPISI are responsive to my requests and questions." 4.50</w:t>
                  </w:r>
                </w:p>
                <w:p w14:paraId="1FA7C0BD" w14:textId="77777777" w:rsidR="00202EE9" w:rsidRPr="00E17F09" w:rsidRDefault="00202EE9" w:rsidP="00202EE9">
                  <w:pPr>
                    <w:tabs>
                      <w:tab w:val="left" w:pos="281"/>
                    </w:tabs>
                    <w:spacing w:after="80"/>
                    <w:rPr>
                      <w:bCs/>
                      <w:sz w:val="22"/>
                      <w:szCs w:val="22"/>
                    </w:rPr>
                  </w:pPr>
                  <w:r w:rsidRPr="00E17F09">
                    <w:rPr>
                      <w:bCs/>
                      <w:sz w:val="22"/>
                      <w:szCs w:val="22"/>
                    </w:rPr>
                    <w:t>"AANAPISI helps me feel a sense of community." 4.83 "AANAPISI helps me connect to my culture." 4.83 "AANAPISI helps me succeed academically." 4.00</w:t>
                  </w:r>
                </w:p>
                <w:p w14:paraId="0199E5FC" w14:textId="77777777" w:rsidR="00202EE9" w:rsidRPr="00E17F09" w:rsidRDefault="00202EE9" w:rsidP="00202EE9">
                  <w:pPr>
                    <w:tabs>
                      <w:tab w:val="left" w:pos="281"/>
                    </w:tabs>
                    <w:spacing w:after="80"/>
                    <w:rPr>
                      <w:bCs/>
                      <w:sz w:val="22"/>
                      <w:szCs w:val="22"/>
                    </w:rPr>
                  </w:pPr>
                  <w:r w:rsidRPr="00E17F09">
                    <w:rPr>
                      <w:bCs/>
                      <w:sz w:val="22"/>
                      <w:szCs w:val="22"/>
                    </w:rPr>
                    <w:t>"I feel that my identity and background are well-represented in AANAPISI." 4.33</w:t>
                  </w:r>
                </w:p>
                <w:p w14:paraId="0818A76D" w14:textId="77777777" w:rsidR="00202EE9" w:rsidRPr="00E17F09" w:rsidRDefault="00202EE9" w:rsidP="00202EE9">
                  <w:pPr>
                    <w:tabs>
                      <w:tab w:val="left" w:pos="281"/>
                    </w:tabs>
                    <w:spacing w:after="80"/>
                    <w:rPr>
                      <w:bCs/>
                      <w:sz w:val="22"/>
                      <w:szCs w:val="22"/>
                    </w:rPr>
                  </w:pPr>
                </w:p>
                <w:p w14:paraId="34DBC0E3" w14:textId="77777777" w:rsidR="00202EE9" w:rsidRPr="00E17F09" w:rsidRDefault="00202EE9" w:rsidP="00202EE9">
                  <w:pPr>
                    <w:tabs>
                      <w:tab w:val="left" w:pos="281"/>
                    </w:tabs>
                    <w:spacing w:after="80"/>
                    <w:rPr>
                      <w:bCs/>
                      <w:sz w:val="22"/>
                      <w:szCs w:val="22"/>
                    </w:rPr>
                  </w:pPr>
                  <w:r w:rsidRPr="00E17F09">
                    <w:rPr>
                      <w:bCs/>
                      <w:sz w:val="22"/>
                      <w:szCs w:val="22"/>
                    </w:rPr>
                    <w:t>Written responses related to what students found especially valuable:</w:t>
                  </w:r>
                </w:p>
                <w:p w14:paraId="6D83A3F5" w14:textId="77777777" w:rsidR="00202EE9" w:rsidRPr="00E17F09" w:rsidRDefault="00202EE9" w:rsidP="00202EE9">
                  <w:pPr>
                    <w:tabs>
                      <w:tab w:val="left" w:pos="281"/>
                    </w:tabs>
                    <w:spacing w:after="80"/>
                    <w:rPr>
                      <w:bCs/>
                      <w:sz w:val="22"/>
                      <w:szCs w:val="22"/>
                    </w:rPr>
                  </w:pPr>
                  <w:r w:rsidRPr="00E17F09">
                    <w:rPr>
                      <w:bCs/>
                      <w:sz w:val="22"/>
                      <w:szCs w:val="22"/>
                    </w:rPr>
                    <w:t>-</w:t>
                  </w:r>
                  <w:r w:rsidRPr="00E17F09">
                    <w:rPr>
                      <w:bCs/>
                      <w:sz w:val="22"/>
                      <w:szCs w:val="22"/>
                    </w:rPr>
                    <w:tab/>
                    <w:t>"Always having open space is a good thing."</w:t>
                  </w:r>
                </w:p>
                <w:p w14:paraId="6E35EE3E" w14:textId="77777777" w:rsidR="00202EE9" w:rsidRPr="00E17F09" w:rsidRDefault="00202EE9" w:rsidP="00202EE9">
                  <w:pPr>
                    <w:tabs>
                      <w:tab w:val="left" w:pos="281"/>
                    </w:tabs>
                    <w:spacing w:after="80"/>
                    <w:rPr>
                      <w:bCs/>
                      <w:sz w:val="22"/>
                      <w:szCs w:val="22"/>
                    </w:rPr>
                  </w:pPr>
                  <w:r w:rsidRPr="00E17F09">
                    <w:rPr>
                      <w:bCs/>
                      <w:sz w:val="22"/>
                      <w:szCs w:val="22"/>
                    </w:rPr>
                    <w:t>-</w:t>
                  </w:r>
                  <w:r w:rsidRPr="00E17F09">
                    <w:rPr>
                      <w:bCs/>
                      <w:sz w:val="22"/>
                      <w:szCs w:val="22"/>
                    </w:rPr>
                    <w:tab/>
                    <w:t xml:space="preserve">"Having such a space has allowed me to grow into a person that's well rounded, not completely there yet, but on the path to do so. Being more exposed to cultural significance in academic spaces makes it so that it doesn't have to be two separate things. Pacific Islander cultures have immense knowledge that Western </w:t>
                  </w:r>
                  <w:r w:rsidRPr="00E17F09">
                    <w:rPr>
                      <w:bCs/>
                      <w:sz w:val="22"/>
                      <w:szCs w:val="22"/>
                    </w:rPr>
                    <w:lastRenderedPageBreak/>
                    <w:t>education are lacking in. So, the best of not only two worlds, but having the navigation to go through more is a privilege."</w:t>
                  </w:r>
                </w:p>
                <w:p w14:paraId="2601A8E7" w14:textId="77777777" w:rsidR="00CF446B" w:rsidRPr="00E17F09" w:rsidRDefault="00202EE9" w:rsidP="00893D2E">
                  <w:pPr>
                    <w:tabs>
                      <w:tab w:val="left" w:pos="281"/>
                    </w:tabs>
                    <w:spacing w:after="80"/>
                    <w:rPr>
                      <w:bCs/>
                      <w:sz w:val="22"/>
                      <w:szCs w:val="22"/>
                    </w:rPr>
                  </w:pPr>
                  <w:r w:rsidRPr="00E17F09">
                    <w:rPr>
                      <w:bCs/>
                      <w:sz w:val="22"/>
                      <w:szCs w:val="22"/>
                    </w:rPr>
                    <w:t>-</w:t>
                  </w:r>
                  <w:r w:rsidRPr="00E17F09">
                    <w:rPr>
                      <w:bCs/>
                      <w:sz w:val="22"/>
                      <w:szCs w:val="22"/>
                    </w:rPr>
                    <w:tab/>
                    <w:t>"AANAPISI helped me connect more with my culture. But in terms of academics, it wasn't as pushed as culture."</w:t>
                  </w:r>
                </w:p>
                <w:p w14:paraId="28B95A72" w14:textId="77777777" w:rsidR="00017161" w:rsidRPr="00E17F09" w:rsidRDefault="00017161" w:rsidP="00893D2E">
                  <w:pPr>
                    <w:tabs>
                      <w:tab w:val="left" w:pos="281"/>
                    </w:tabs>
                    <w:spacing w:after="80"/>
                    <w:rPr>
                      <w:bCs/>
                      <w:sz w:val="22"/>
                      <w:szCs w:val="22"/>
                    </w:rPr>
                  </w:pPr>
                </w:p>
              </w:tc>
            </w:tr>
            <w:tr w:rsidR="00CF446B" w14:paraId="51809962" w14:textId="77777777" w:rsidTr="00CF446B">
              <w:tc>
                <w:tcPr>
                  <w:tcW w:w="3074" w:type="dxa"/>
                </w:tcPr>
                <w:p w14:paraId="599018A5" w14:textId="77777777" w:rsidR="007D499D" w:rsidRPr="00E17F09" w:rsidRDefault="004E520C" w:rsidP="00893D2E">
                  <w:pPr>
                    <w:tabs>
                      <w:tab w:val="left" w:pos="281"/>
                    </w:tabs>
                    <w:spacing w:after="80"/>
                    <w:rPr>
                      <w:bCs/>
                      <w:color w:val="000000" w:themeColor="text1"/>
                      <w:sz w:val="22"/>
                      <w:szCs w:val="22"/>
                    </w:rPr>
                  </w:pPr>
                  <w:r w:rsidRPr="00E17F09">
                    <w:rPr>
                      <w:bCs/>
                      <w:sz w:val="22"/>
                      <w:szCs w:val="22"/>
                    </w:rPr>
                    <w:lastRenderedPageBreak/>
                    <w:t>First Summer Bridge offered in c</w:t>
                  </w:r>
                  <w:r w:rsidR="005B08D0" w:rsidRPr="00E17F09">
                    <w:rPr>
                      <w:bCs/>
                      <w:sz w:val="22"/>
                      <w:szCs w:val="22"/>
                    </w:rPr>
                    <w:t>olla</w:t>
                  </w:r>
                  <w:r w:rsidR="005B08D0" w:rsidRPr="00E17F09">
                    <w:rPr>
                      <w:bCs/>
                      <w:color w:val="000000" w:themeColor="text1"/>
                      <w:sz w:val="22"/>
                      <w:szCs w:val="22"/>
                    </w:rPr>
                    <w:t>borat</w:t>
                  </w:r>
                  <w:r w:rsidRPr="00E17F09">
                    <w:rPr>
                      <w:bCs/>
                      <w:color w:val="000000" w:themeColor="text1"/>
                      <w:sz w:val="22"/>
                      <w:szCs w:val="22"/>
                    </w:rPr>
                    <w:t>ion with</w:t>
                  </w:r>
                  <w:r w:rsidR="005B08D0" w:rsidRPr="00E17F09">
                    <w:rPr>
                      <w:bCs/>
                      <w:color w:val="000000" w:themeColor="text1"/>
                      <w:sz w:val="22"/>
                      <w:szCs w:val="22"/>
                    </w:rPr>
                    <w:t xml:space="preserve"> TRiO, Outreach, CLS, Advising, and Benefits Hub to </w:t>
                  </w:r>
                  <w:r w:rsidRPr="00E17F09">
                    <w:rPr>
                      <w:bCs/>
                      <w:color w:val="000000" w:themeColor="text1"/>
                      <w:sz w:val="22"/>
                      <w:szCs w:val="22"/>
                    </w:rPr>
                    <w:t xml:space="preserve">offer the first year experience </w:t>
                  </w:r>
                  <w:r w:rsidR="005B08D0" w:rsidRPr="00E17F09">
                    <w:rPr>
                      <w:bCs/>
                      <w:color w:val="000000" w:themeColor="text1"/>
                      <w:sz w:val="22"/>
                      <w:szCs w:val="22"/>
                    </w:rPr>
                    <w:t>for incoming students. Program target</w:t>
                  </w:r>
                  <w:r w:rsidR="007D499D" w:rsidRPr="00E17F09">
                    <w:rPr>
                      <w:bCs/>
                      <w:color w:val="000000" w:themeColor="text1"/>
                      <w:sz w:val="22"/>
                      <w:szCs w:val="22"/>
                    </w:rPr>
                    <w:t>s</w:t>
                  </w:r>
                  <w:r w:rsidR="005B08D0" w:rsidRPr="00E17F09">
                    <w:rPr>
                      <w:bCs/>
                      <w:color w:val="000000" w:themeColor="text1"/>
                      <w:sz w:val="22"/>
                      <w:szCs w:val="22"/>
                    </w:rPr>
                    <w:t xml:space="preserve"> first generation, low income students. Faculty taught </w:t>
                  </w:r>
                  <w:r w:rsidR="00DD7B5C" w:rsidRPr="00E17F09">
                    <w:rPr>
                      <w:bCs/>
                      <w:color w:val="000000" w:themeColor="text1"/>
                      <w:sz w:val="22"/>
                      <w:szCs w:val="22"/>
                    </w:rPr>
                    <w:t xml:space="preserve">a two-credit college-level course </w:t>
                  </w:r>
                  <w:r w:rsidR="00DD7B5C" w:rsidRPr="00E17F09">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(taught by Diego Luna and Eileen Jimenez)</w:t>
                  </w:r>
                  <w:r w:rsidR="005B08D0" w:rsidRPr="00E17F09">
                    <w:rPr>
                      <w:bCs/>
                      <w:color w:val="000000" w:themeColor="text1"/>
                      <w:sz w:val="22"/>
                      <w:szCs w:val="22"/>
                    </w:rPr>
                    <w:t>, staff connected students to resources, AANAPI</w:t>
                  </w:r>
                  <w:r w:rsidR="007D499D" w:rsidRPr="00E17F09">
                    <w:rPr>
                      <w:bCs/>
                      <w:color w:val="000000" w:themeColor="text1"/>
                      <w:sz w:val="22"/>
                      <w:szCs w:val="22"/>
                    </w:rPr>
                    <w:t>SI student ambassadors assisted in program facilitation</w:t>
                  </w:r>
                  <w:r w:rsidR="005B08D0" w:rsidRPr="00E17F09">
                    <w:rPr>
                      <w:bCs/>
                      <w:color w:val="000000" w:themeColor="text1"/>
                      <w:sz w:val="22"/>
                      <w:szCs w:val="22"/>
                    </w:rPr>
                    <w:t xml:space="preserve"> and mentor</w:t>
                  </w:r>
                  <w:r w:rsidR="007D499D" w:rsidRPr="00E17F09">
                    <w:rPr>
                      <w:bCs/>
                      <w:color w:val="000000" w:themeColor="text1"/>
                      <w:sz w:val="22"/>
                      <w:szCs w:val="22"/>
                    </w:rPr>
                    <w:t>ing.</w:t>
                  </w:r>
                </w:p>
                <w:p w14:paraId="080E456A" w14:textId="77777777" w:rsidR="00CF446B" w:rsidRPr="00E17F09" w:rsidRDefault="00CF446B" w:rsidP="00F504E2">
                  <w:pPr>
                    <w:tabs>
                      <w:tab w:val="left" w:pos="281"/>
                    </w:tabs>
                    <w:spacing w:after="80"/>
                    <w:rPr>
                      <w:bCs/>
                      <w:sz w:val="22"/>
                      <w:szCs w:val="22"/>
                    </w:rPr>
                  </w:pPr>
                </w:p>
              </w:tc>
              <w:tc>
                <w:tcPr>
                  <w:tcW w:w="3075" w:type="dxa"/>
                </w:tcPr>
                <w:p w14:paraId="2689B453" w14:textId="77777777" w:rsidR="00CF446B" w:rsidRPr="00E17F09" w:rsidRDefault="00782B91" w:rsidP="00893D2E">
                  <w:pPr>
                    <w:tabs>
                      <w:tab w:val="left" w:pos="281"/>
                    </w:tabs>
                    <w:spacing w:after="80"/>
                    <w:rPr>
                      <w:bCs/>
                      <w:sz w:val="22"/>
                      <w:szCs w:val="22"/>
                    </w:rPr>
                  </w:pPr>
                  <w:r w:rsidRPr="00E17F09">
                    <w:rPr>
                      <w:bCs/>
                      <w:sz w:val="22"/>
                      <w:szCs w:val="22"/>
                    </w:rPr>
                    <w:t>1.2.2:  Faculty and student services personnel provide effective support to students.</w:t>
                  </w:r>
                </w:p>
              </w:tc>
              <w:tc>
                <w:tcPr>
                  <w:tcW w:w="3075" w:type="dxa"/>
                </w:tcPr>
                <w:p w14:paraId="0BD78C34" w14:textId="77777777" w:rsidR="00221206" w:rsidRPr="00E17F09" w:rsidRDefault="00221206" w:rsidP="00893D2E">
                  <w:pPr>
                    <w:tabs>
                      <w:tab w:val="left" w:pos="281"/>
                    </w:tabs>
                    <w:spacing w:after="80"/>
                    <w:rPr>
                      <w:bCs/>
                      <w:sz w:val="22"/>
                      <w:szCs w:val="22"/>
                    </w:rPr>
                  </w:pPr>
                  <w:r w:rsidRPr="00E17F09">
                    <w:rPr>
                      <w:bCs/>
                      <w:sz w:val="22"/>
                      <w:szCs w:val="22"/>
                    </w:rPr>
                    <w:t>Grant Objective 2.1</w:t>
                  </w:r>
                </w:p>
                <w:p w14:paraId="672A5545" w14:textId="77777777" w:rsidR="004041E9" w:rsidRPr="00E17F09" w:rsidRDefault="00E86C1B" w:rsidP="00893D2E">
                  <w:pPr>
                    <w:tabs>
                      <w:tab w:val="left" w:pos="281"/>
                    </w:tabs>
                    <w:spacing w:after="80"/>
                    <w:rPr>
                      <w:bCs/>
                      <w:sz w:val="22"/>
                      <w:szCs w:val="22"/>
                    </w:rPr>
                  </w:pPr>
                  <w:r w:rsidRPr="00E17F09">
                    <w:rPr>
                      <w:bCs/>
                      <w:sz w:val="22"/>
                      <w:szCs w:val="22"/>
                    </w:rPr>
                    <w:t>Increase f</w:t>
                  </w:r>
                  <w:r w:rsidR="00E2148C" w:rsidRPr="00E17F09">
                    <w:rPr>
                      <w:bCs/>
                      <w:sz w:val="22"/>
                      <w:szCs w:val="22"/>
                    </w:rPr>
                    <w:t>all to winter retention rate of first-time, full-time degree-seeking AAPI undergraduate students.</w:t>
                  </w:r>
                </w:p>
                <w:p w14:paraId="5E16229D" w14:textId="77777777" w:rsidR="00221206" w:rsidRPr="00E17F09" w:rsidRDefault="004041E9" w:rsidP="00893D2E">
                  <w:pPr>
                    <w:tabs>
                      <w:tab w:val="left" w:pos="281"/>
                    </w:tabs>
                    <w:spacing w:after="80"/>
                    <w:rPr>
                      <w:bCs/>
                      <w:sz w:val="22"/>
                      <w:szCs w:val="22"/>
                    </w:rPr>
                  </w:pPr>
                  <w:r w:rsidRPr="00E17F09">
                    <w:rPr>
                      <w:bCs/>
                      <w:sz w:val="22"/>
                      <w:szCs w:val="22"/>
                    </w:rPr>
                    <w:t>O</w:t>
                  </w:r>
                  <w:r w:rsidR="00221206" w:rsidRPr="00E17F09">
                    <w:rPr>
                      <w:bCs/>
                      <w:sz w:val="22"/>
                      <w:szCs w:val="22"/>
                    </w:rPr>
                    <w:t xml:space="preserve">verall first-time, full-time, degree-seeking retention rate </w:t>
                  </w:r>
                  <w:r w:rsidRPr="00E17F09">
                    <w:rPr>
                      <w:bCs/>
                      <w:sz w:val="22"/>
                      <w:szCs w:val="22"/>
                    </w:rPr>
                    <w:t>was</w:t>
                  </w:r>
                  <w:r w:rsidR="00221206" w:rsidRPr="00E17F09">
                    <w:rPr>
                      <w:bCs/>
                      <w:sz w:val="22"/>
                      <w:szCs w:val="22"/>
                    </w:rPr>
                    <w:t xml:space="preserve"> 91%. AANAPISI program participants’ persistence was 94%, 3% over all </w:t>
                  </w:r>
                  <w:r w:rsidRPr="00E17F09">
                    <w:rPr>
                      <w:bCs/>
                      <w:sz w:val="22"/>
                      <w:szCs w:val="22"/>
                    </w:rPr>
                    <w:t xml:space="preserve">other </w:t>
                  </w:r>
                  <w:r w:rsidR="00221206" w:rsidRPr="00E17F09">
                    <w:rPr>
                      <w:bCs/>
                      <w:sz w:val="22"/>
                      <w:szCs w:val="22"/>
                    </w:rPr>
                    <w:t>AAPI students, demonstrating that AAPI students participating in AANAPISI program supports have a higher persistence rate than those who are not a part of the AANAPISI learning community.</w:t>
                  </w:r>
                </w:p>
                <w:p w14:paraId="123AC61E" w14:textId="77777777" w:rsidR="00221206" w:rsidRPr="00E17F09" w:rsidRDefault="00221206" w:rsidP="00893D2E">
                  <w:pPr>
                    <w:tabs>
                      <w:tab w:val="left" w:pos="281"/>
                    </w:tabs>
                    <w:spacing w:after="80"/>
                    <w:rPr>
                      <w:bCs/>
                      <w:sz w:val="22"/>
                      <w:szCs w:val="22"/>
                    </w:rPr>
                  </w:pPr>
                  <w:r w:rsidRPr="00E17F09">
                    <w:rPr>
                      <w:bCs/>
                      <w:sz w:val="22"/>
                      <w:szCs w:val="22"/>
                    </w:rPr>
                    <w:t xml:space="preserve"> </w:t>
                  </w:r>
                </w:p>
                <w:p w14:paraId="73CF21A5" w14:textId="77777777" w:rsidR="00221206" w:rsidRPr="00E17F09" w:rsidRDefault="00E2148C" w:rsidP="00893D2E">
                  <w:pPr>
                    <w:tabs>
                      <w:tab w:val="left" w:pos="281"/>
                    </w:tabs>
                    <w:spacing w:after="80"/>
                    <w:rPr>
                      <w:bCs/>
                      <w:sz w:val="22"/>
                      <w:szCs w:val="22"/>
                    </w:rPr>
                  </w:pPr>
                  <w:r w:rsidRPr="00E17F09">
                    <w:rPr>
                      <w:bCs/>
                      <w:sz w:val="22"/>
                      <w:szCs w:val="22"/>
                    </w:rPr>
                    <w:t xml:space="preserve">Grant </w:t>
                  </w:r>
                  <w:r w:rsidR="00221206" w:rsidRPr="00E17F09">
                    <w:rPr>
                      <w:bCs/>
                      <w:sz w:val="22"/>
                      <w:szCs w:val="22"/>
                    </w:rPr>
                    <w:t>Objective 2.2</w:t>
                  </w:r>
                </w:p>
                <w:p w14:paraId="6C4AB259" w14:textId="77777777" w:rsidR="00E2148C" w:rsidRPr="00E17F09" w:rsidRDefault="00E2148C" w:rsidP="00893D2E">
                  <w:pPr>
                    <w:tabs>
                      <w:tab w:val="left" w:pos="281"/>
                    </w:tabs>
                    <w:spacing w:after="80"/>
                    <w:rPr>
                      <w:bCs/>
                      <w:sz w:val="22"/>
                      <w:szCs w:val="22"/>
                    </w:rPr>
                  </w:pPr>
                  <w:r w:rsidRPr="00E17F09">
                    <w:rPr>
                      <w:bCs/>
                      <w:sz w:val="22"/>
                      <w:szCs w:val="22"/>
                    </w:rPr>
                    <w:t>I</w:t>
                  </w:r>
                  <w:r w:rsidR="00221206" w:rsidRPr="00E17F09">
                    <w:rPr>
                      <w:bCs/>
                      <w:sz w:val="22"/>
                      <w:szCs w:val="22"/>
                    </w:rPr>
                    <w:t xml:space="preserve">ncrease the fall-to-winter persistence rate of first-time, part-time degree-seeking </w:t>
                  </w:r>
                  <w:r w:rsidRPr="00E17F09">
                    <w:rPr>
                      <w:bCs/>
                      <w:sz w:val="22"/>
                      <w:szCs w:val="22"/>
                    </w:rPr>
                    <w:t>AANAPISI undergraduate students.</w:t>
                  </w:r>
                </w:p>
                <w:p w14:paraId="08A8E078" w14:textId="77777777" w:rsidR="00221206" w:rsidRPr="00E17F09" w:rsidRDefault="00017161" w:rsidP="00893D2E">
                  <w:pPr>
                    <w:tabs>
                      <w:tab w:val="left" w:pos="281"/>
                    </w:tabs>
                    <w:spacing w:after="80"/>
                    <w:rPr>
                      <w:bCs/>
                      <w:sz w:val="22"/>
                      <w:szCs w:val="22"/>
                    </w:rPr>
                  </w:pPr>
                  <w:r w:rsidRPr="00E17F09">
                    <w:rPr>
                      <w:bCs/>
                      <w:sz w:val="22"/>
                      <w:szCs w:val="22"/>
                    </w:rPr>
                    <w:t>F</w:t>
                  </w:r>
                  <w:r w:rsidR="00221206" w:rsidRPr="00E17F09">
                    <w:rPr>
                      <w:bCs/>
                      <w:sz w:val="22"/>
                      <w:szCs w:val="22"/>
                    </w:rPr>
                    <w:t xml:space="preserve">all-to-winter retention rate for first-time, part-time, degree-seeking undergraduate </w:t>
                  </w:r>
                  <w:r w:rsidRPr="00E17F09">
                    <w:rPr>
                      <w:bCs/>
                      <w:sz w:val="22"/>
                      <w:szCs w:val="22"/>
                    </w:rPr>
                    <w:t xml:space="preserve">AAPI </w:t>
                  </w:r>
                  <w:r w:rsidR="00221206" w:rsidRPr="00E17F09">
                    <w:rPr>
                      <w:bCs/>
                      <w:sz w:val="22"/>
                      <w:szCs w:val="22"/>
                    </w:rPr>
                    <w:t>students</w:t>
                  </w:r>
                  <w:r w:rsidRPr="00E17F09">
                    <w:rPr>
                      <w:bCs/>
                      <w:sz w:val="22"/>
                      <w:szCs w:val="22"/>
                    </w:rPr>
                    <w:t xml:space="preserve"> was </w:t>
                  </w:r>
                  <w:r w:rsidR="00E2148C" w:rsidRPr="00E17F09">
                    <w:rPr>
                      <w:bCs/>
                      <w:sz w:val="22"/>
                      <w:szCs w:val="22"/>
                    </w:rPr>
                    <w:t>67%</w:t>
                  </w:r>
                  <w:r w:rsidRPr="00E17F09">
                    <w:rPr>
                      <w:bCs/>
                      <w:sz w:val="22"/>
                      <w:szCs w:val="22"/>
                    </w:rPr>
                    <w:t>.</w:t>
                  </w:r>
                  <w:r w:rsidR="00E2148C" w:rsidRPr="00E17F09">
                    <w:rPr>
                      <w:bCs/>
                      <w:sz w:val="22"/>
                      <w:szCs w:val="22"/>
                    </w:rPr>
                    <w:t xml:space="preserve"> </w:t>
                  </w:r>
                  <w:r w:rsidRPr="00E17F09">
                    <w:rPr>
                      <w:bCs/>
                      <w:sz w:val="22"/>
                      <w:szCs w:val="22"/>
                    </w:rPr>
                    <w:t>T</w:t>
                  </w:r>
                  <w:r w:rsidR="00221206" w:rsidRPr="00E17F09">
                    <w:rPr>
                      <w:bCs/>
                      <w:sz w:val="22"/>
                      <w:szCs w:val="22"/>
                    </w:rPr>
                    <w:t>he AAPI retention rate was better than the overall first-time, part-time, degree-seeking retention rate, which was 63%.</w:t>
                  </w:r>
                </w:p>
                <w:p w14:paraId="51B810DE" w14:textId="77777777" w:rsidR="00221206" w:rsidRPr="00E17F09" w:rsidRDefault="00221206" w:rsidP="00893D2E">
                  <w:pPr>
                    <w:tabs>
                      <w:tab w:val="left" w:pos="281"/>
                    </w:tabs>
                    <w:spacing w:after="80"/>
                    <w:rPr>
                      <w:bCs/>
                      <w:sz w:val="22"/>
                      <w:szCs w:val="22"/>
                    </w:rPr>
                  </w:pPr>
                  <w:r w:rsidRPr="00E17F09">
                    <w:rPr>
                      <w:bCs/>
                      <w:sz w:val="22"/>
                      <w:szCs w:val="22"/>
                    </w:rPr>
                    <w:t xml:space="preserve"> </w:t>
                  </w:r>
                </w:p>
                <w:p w14:paraId="1D6BF41C" w14:textId="77777777" w:rsidR="00CF446B" w:rsidRPr="00E17F09" w:rsidRDefault="00CF446B" w:rsidP="00202EE9">
                  <w:pPr>
                    <w:tabs>
                      <w:tab w:val="left" w:pos="281"/>
                    </w:tabs>
                    <w:spacing w:after="80"/>
                    <w:rPr>
                      <w:bCs/>
                      <w:sz w:val="22"/>
                      <w:szCs w:val="22"/>
                    </w:rPr>
                  </w:pPr>
                </w:p>
              </w:tc>
            </w:tr>
            <w:tr w:rsidR="00CF446B" w14:paraId="7EE05CB1" w14:textId="77777777" w:rsidTr="00CF446B">
              <w:tc>
                <w:tcPr>
                  <w:tcW w:w="3074" w:type="dxa"/>
                </w:tcPr>
                <w:p w14:paraId="4D891BD1" w14:textId="77777777" w:rsidR="003647AE" w:rsidRPr="00E17F09" w:rsidRDefault="00DC727B" w:rsidP="003647AE">
                  <w:pPr>
                    <w:ind w:left="15"/>
                    <w:rPr>
                      <w:rFonts w:eastAsiaTheme="minorHAnsi"/>
                      <w:sz w:val="22"/>
                      <w:szCs w:val="22"/>
                    </w:rPr>
                  </w:pPr>
                  <w:r w:rsidRPr="00E17F09">
                    <w:rPr>
                      <w:rFonts w:eastAsiaTheme="minorHAnsi"/>
                      <w:sz w:val="22"/>
                      <w:szCs w:val="22"/>
                    </w:rPr>
                    <w:t>AANAPISI c</w:t>
                  </w:r>
                  <w:r w:rsidR="003647AE" w:rsidRPr="00E17F09">
                    <w:rPr>
                      <w:rFonts w:eastAsiaTheme="minorHAnsi"/>
                      <w:sz w:val="22"/>
                      <w:szCs w:val="22"/>
                    </w:rPr>
                    <w:t xml:space="preserve">ulturally responsive practices not only to increase AAPI student </w:t>
                  </w:r>
                  <w:r w:rsidRPr="00E17F09">
                    <w:rPr>
                      <w:rFonts w:eastAsiaTheme="minorHAnsi"/>
                      <w:sz w:val="22"/>
                      <w:szCs w:val="22"/>
                    </w:rPr>
                    <w:t>engagement</w:t>
                  </w:r>
                  <w:r w:rsidR="003647AE" w:rsidRPr="00E17F09">
                    <w:rPr>
                      <w:rFonts w:eastAsiaTheme="minorHAnsi"/>
                      <w:sz w:val="22"/>
                      <w:szCs w:val="22"/>
                    </w:rPr>
                    <w:t>, but welcome and support non-AAPI students, faculty, and staff.</w:t>
                  </w:r>
                </w:p>
                <w:p w14:paraId="1FFD0B40" w14:textId="77777777" w:rsidR="00CF446B" w:rsidRPr="00E17F09" w:rsidRDefault="00DA3F0F" w:rsidP="00893D2E">
                  <w:pPr>
                    <w:tabs>
                      <w:tab w:val="left" w:pos="281"/>
                    </w:tabs>
                    <w:spacing w:after="80"/>
                    <w:rPr>
                      <w:bCs/>
                      <w:sz w:val="22"/>
                      <w:szCs w:val="22"/>
                    </w:rPr>
                  </w:pPr>
                  <w:r w:rsidRPr="00E17F09">
                    <w:rPr>
                      <w:bCs/>
                      <w:sz w:val="22"/>
                      <w:szCs w:val="22"/>
                    </w:rPr>
                    <w:t xml:space="preserve"> </w:t>
                  </w:r>
                </w:p>
              </w:tc>
              <w:tc>
                <w:tcPr>
                  <w:tcW w:w="3075" w:type="dxa"/>
                </w:tcPr>
                <w:p w14:paraId="49A5666C" w14:textId="77777777" w:rsidR="00CF446B" w:rsidRPr="00E17F09" w:rsidRDefault="00782B91" w:rsidP="00893D2E">
                  <w:pPr>
                    <w:tabs>
                      <w:tab w:val="left" w:pos="281"/>
                    </w:tabs>
                    <w:spacing w:after="80"/>
                    <w:rPr>
                      <w:bCs/>
                      <w:sz w:val="22"/>
                      <w:szCs w:val="22"/>
                    </w:rPr>
                  </w:pPr>
                  <w:r w:rsidRPr="00E17F09">
                    <w:rPr>
                      <w:bCs/>
                      <w:sz w:val="22"/>
                      <w:szCs w:val="22"/>
                    </w:rPr>
                    <w:t>2.3.2: Students from diverse backgrounds complete degrees and certificates at rates comparable to relevant comparison groups.</w:t>
                  </w:r>
                </w:p>
              </w:tc>
              <w:tc>
                <w:tcPr>
                  <w:tcW w:w="3075" w:type="dxa"/>
                </w:tcPr>
                <w:p w14:paraId="695724B5" w14:textId="77777777" w:rsidR="00221206" w:rsidRPr="00E17F09" w:rsidRDefault="00BB52B7" w:rsidP="00893D2E">
                  <w:pPr>
                    <w:tabs>
                      <w:tab w:val="left" w:pos="281"/>
                    </w:tabs>
                    <w:spacing w:after="80"/>
                    <w:rPr>
                      <w:bCs/>
                      <w:sz w:val="22"/>
                      <w:szCs w:val="22"/>
                    </w:rPr>
                  </w:pPr>
                  <w:r w:rsidRPr="00E17F09">
                    <w:rPr>
                      <w:bCs/>
                      <w:sz w:val="22"/>
                      <w:szCs w:val="22"/>
                    </w:rPr>
                    <w:t xml:space="preserve">Grant </w:t>
                  </w:r>
                  <w:r w:rsidR="00221206" w:rsidRPr="00E17F09">
                    <w:rPr>
                      <w:bCs/>
                      <w:sz w:val="22"/>
                      <w:szCs w:val="22"/>
                    </w:rPr>
                    <w:t>Objective 3.1</w:t>
                  </w:r>
                </w:p>
                <w:p w14:paraId="4F282E09" w14:textId="77777777" w:rsidR="00221206" w:rsidRPr="00E17F09" w:rsidRDefault="00BB52B7" w:rsidP="00893D2E">
                  <w:pPr>
                    <w:tabs>
                      <w:tab w:val="left" w:pos="281"/>
                    </w:tabs>
                    <w:spacing w:after="80"/>
                    <w:rPr>
                      <w:bCs/>
                      <w:sz w:val="22"/>
                      <w:szCs w:val="22"/>
                    </w:rPr>
                  </w:pPr>
                  <w:r w:rsidRPr="00E17F09">
                    <w:rPr>
                      <w:bCs/>
                      <w:sz w:val="22"/>
                      <w:szCs w:val="22"/>
                    </w:rPr>
                    <w:t>I</w:t>
                  </w:r>
                  <w:r w:rsidR="00221206" w:rsidRPr="00E17F09">
                    <w:rPr>
                      <w:bCs/>
                      <w:sz w:val="22"/>
                      <w:szCs w:val="22"/>
                    </w:rPr>
                    <w:t>ncrease the fall-to-fall persistence rate of first-time, full-time degree- seeking undergraduate AAPI students</w:t>
                  </w:r>
                  <w:r w:rsidRPr="00E17F09">
                    <w:rPr>
                      <w:bCs/>
                      <w:sz w:val="22"/>
                      <w:szCs w:val="22"/>
                    </w:rPr>
                    <w:t xml:space="preserve">. </w:t>
                  </w:r>
                </w:p>
                <w:p w14:paraId="537AF9E4" w14:textId="77777777" w:rsidR="00221206" w:rsidRPr="00E17F09" w:rsidRDefault="00DC727B" w:rsidP="00893D2E">
                  <w:pPr>
                    <w:tabs>
                      <w:tab w:val="left" w:pos="281"/>
                    </w:tabs>
                    <w:spacing w:after="80"/>
                    <w:rPr>
                      <w:bCs/>
                      <w:sz w:val="22"/>
                      <w:szCs w:val="22"/>
                    </w:rPr>
                  </w:pPr>
                  <w:r w:rsidRPr="00E17F09">
                    <w:rPr>
                      <w:bCs/>
                      <w:sz w:val="22"/>
                      <w:szCs w:val="22"/>
                    </w:rPr>
                    <w:t>F</w:t>
                  </w:r>
                  <w:r w:rsidR="00221206" w:rsidRPr="00E17F09">
                    <w:rPr>
                      <w:bCs/>
                      <w:sz w:val="22"/>
                      <w:szCs w:val="22"/>
                    </w:rPr>
                    <w:t xml:space="preserve">all-to-fall retention rate of of first-time, full-time degree-seeking undergraduate AAPI students </w:t>
                  </w:r>
                  <w:r w:rsidRPr="00E17F09">
                    <w:rPr>
                      <w:bCs/>
                      <w:sz w:val="22"/>
                      <w:szCs w:val="22"/>
                    </w:rPr>
                    <w:t xml:space="preserve">was </w:t>
                  </w:r>
                  <w:r w:rsidR="00BB52B7" w:rsidRPr="00E17F09">
                    <w:rPr>
                      <w:bCs/>
                      <w:sz w:val="22"/>
                      <w:szCs w:val="22"/>
                    </w:rPr>
                    <w:t xml:space="preserve">70%, which </w:t>
                  </w:r>
                  <w:r w:rsidR="00221206" w:rsidRPr="00E17F09">
                    <w:rPr>
                      <w:bCs/>
                      <w:sz w:val="22"/>
                      <w:szCs w:val="22"/>
                    </w:rPr>
                    <w:t>was better than the overall first-time, part-time, degree-seeking retention rate, which was 68%.</w:t>
                  </w:r>
                </w:p>
                <w:p w14:paraId="2FD18BE0" w14:textId="77777777" w:rsidR="00221206" w:rsidRPr="00E17F09" w:rsidRDefault="00221206" w:rsidP="00893D2E">
                  <w:pPr>
                    <w:tabs>
                      <w:tab w:val="left" w:pos="281"/>
                    </w:tabs>
                    <w:spacing w:after="80"/>
                    <w:rPr>
                      <w:bCs/>
                      <w:sz w:val="22"/>
                      <w:szCs w:val="22"/>
                    </w:rPr>
                  </w:pPr>
                </w:p>
                <w:p w14:paraId="14EFE75F" w14:textId="77777777" w:rsidR="00221206" w:rsidRPr="00E17F09" w:rsidRDefault="00BB52B7" w:rsidP="00893D2E">
                  <w:pPr>
                    <w:tabs>
                      <w:tab w:val="left" w:pos="281"/>
                    </w:tabs>
                    <w:spacing w:after="80"/>
                    <w:rPr>
                      <w:bCs/>
                      <w:sz w:val="22"/>
                      <w:szCs w:val="22"/>
                    </w:rPr>
                  </w:pPr>
                  <w:r w:rsidRPr="00E17F09">
                    <w:rPr>
                      <w:bCs/>
                      <w:sz w:val="22"/>
                      <w:szCs w:val="22"/>
                    </w:rPr>
                    <w:t>Grant</w:t>
                  </w:r>
                  <w:r w:rsidR="007F75F7" w:rsidRPr="00E17F09">
                    <w:rPr>
                      <w:bCs/>
                      <w:sz w:val="22"/>
                      <w:szCs w:val="22"/>
                    </w:rPr>
                    <w:t xml:space="preserve"> </w:t>
                  </w:r>
                  <w:r w:rsidR="00221206" w:rsidRPr="00E17F09">
                    <w:rPr>
                      <w:bCs/>
                      <w:sz w:val="22"/>
                      <w:szCs w:val="22"/>
                    </w:rPr>
                    <w:t>Objective 3.2</w:t>
                  </w:r>
                </w:p>
                <w:p w14:paraId="528BD691" w14:textId="77777777" w:rsidR="00221206" w:rsidRPr="00E17F09" w:rsidRDefault="007F75F7" w:rsidP="00893D2E">
                  <w:pPr>
                    <w:tabs>
                      <w:tab w:val="left" w:pos="281"/>
                    </w:tabs>
                    <w:spacing w:after="80"/>
                    <w:rPr>
                      <w:bCs/>
                      <w:sz w:val="22"/>
                      <w:szCs w:val="22"/>
                    </w:rPr>
                  </w:pPr>
                  <w:r w:rsidRPr="00E17F09">
                    <w:rPr>
                      <w:bCs/>
                      <w:sz w:val="22"/>
                      <w:szCs w:val="22"/>
                    </w:rPr>
                    <w:t>I</w:t>
                  </w:r>
                  <w:r w:rsidR="00221206" w:rsidRPr="00E17F09">
                    <w:rPr>
                      <w:bCs/>
                      <w:sz w:val="22"/>
                      <w:szCs w:val="22"/>
                    </w:rPr>
                    <w:t>ncrease the fall-to-fall persistence rate of first-time, part-time degree- seeking undergraduate AAPI students</w:t>
                  </w:r>
                  <w:r w:rsidRPr="00E17F09">
                    <w:rPr>
                      <w:bCs/>
                      <w:sz w:val="22"/>
                      <w:szCs w:val="22"/>
                    </w:rPr>
                    <w:t>.</w:t>
                  </w:r>
                </w:p>
                <w:p w14:paraId="59B35536" w14:textId="77777777" w:rsidR="00221206" w:rsidRPr="00E17F09" w:rsidRDefault="00DC727B" w:rsidP="00893D2E">
                  <w:pPr>
                    <w:tabs>
                      <w:tab w:val="left" w:pos="281"/>
                    </w:tabs>
                    <w:spacing w:after="80"/>
                    <w:rPr>
                      <w:bCs/>
                      <w:sz w:val="22"/>
                      <w:szCs w:val="22"/>
                    </w:rPr>
                  </w:pPr>
                  <w:r w:rsidRPr="00E17F09">
                    <w:rPr>
                      <w:bCs/>
                      <w:sz w:val="22"/>
                      <w:szCs w:val="22"/>
                    </w:rPr>
                    <w:t>F</w:t>
                  </w:r>
                  <w:r w:rsidR="00221206" w:rsidRPr="00E17F09">
                    <w:rPr>
                      <w:bCs/>
                      <w:sz w:val="22"/>
                      <w:szCs w:val="22"/>
                    </w:rPr>
                    <w:t xml:space="preserve">all-to-fall retention rate for first-time, part-time, degree-seeking undergraduate students </w:t>
                  </w:r>
                  <w:r w:rsidR="007F75F7" w:rsidRPr="00E17F09">
                    <w:rPr>
                      <w:bCs/>
                      <w:sz w:val="22"/>
                      <w:szCs w:val="22"/>
                    </w:rPr>
                    <w:t xml:space="preserve">was 47%, which </w:t>
                  </w:r>
                  <w:r w:rsidR="00221206" w:rsidRPr="00E17F09">
                    <w:rPr>
                      <w:bCs/>
                      <w:sz w:val="22"/>
                      <w:szCs w:val="22"/>
                    </w:rPr>
                    <w:t>was better than the overall first-time, part-time, degree-seeking retention rate, which was 35%.</w:t>
                  </w:r>
                </w:p>
                <w:p w14:paraId="4FD8DEF8" w14:textId="77777777" w:rsidR="007F75F7" w:rsidRPr="00E17F09" w:rsidRDefault="007F75F7" w:rsidP="00893D2E">
                  <w:pPr>
                    <w:tabs>
                      <w:tab w:val="left" w:pos="281"/>
                    </w:tabs>
                    <w:spacing w:after="80"/>
                    <w:rPr>
                      <w:bCs/>
                      <w:sz w:val="22"/>
                      <w:szCs w:val="22"/>
                    </w:rPr>
                  </w:pPr>
                </w:p>
                <w:p w14:paraId="4DEEAE94" w14:textId="77777777" w:rsidR="00221206" w:rsidRPr="00E17F09" w:rsidRDefault="007F75F7" w:rsidP="00893D2E">
                  <w:pPr>
                    <w:tabs>
                      <w:tab w:val="left" w:pos="281"/>
                    </w:tabs>
                    <w:spacing w:after="80"/>
                    <w:rPr>
                      <w:bCs/>
                      <w:sz w:val="22"/>
                      <w:szCs w:val="22"/>
                    </w:rPr>
                  </w:pPr>
                  <w:r w:rsidRPr="00E17F09">
                    <w:rPr>
                      <w:bCs/>
                      <w:sz w:val="22"/>
                      <w:szCs w:val="22"/>
                    </w:rPr>
                    <w:t xml:space="preserve">Grant </w:t>
                  </w:r>
                  <w:r w:rsidR="00221206" w:rsidRPr="00E17F09">
                    <w:rPr>
                      <w:bCs/>
                      <w:sz w:val="22"/>
                      <w:szCs w:val="22"/>
                    </w:rPr>
                    <w:t>Objective 3.3</w:t>
                  </w:r>
                </w:p>
                <w:p w14:paraId="58AC3F7A" w14:textId="77777777" w:rsidR="00EF5928" w:rsidRPr="00E17F09" w:rsidRDefault="00EF5928" w:rsidP="00893D2E">
                  <w:pPr>
                    <w:tabs>
                      <w:tab w:val="left" w:pos="281"/>
                    </w:tabs>
                    <w:spacing w:after="80"/>
                    <w:rPr>
                      <w:sz w:val="22"/>
                    </w:rPr>
                  </w:pPr>
                  <w:r w:rsidRPr="00E17F09">
                    <w:rPr>
                      <w:bCs/>
                      <w:sz w:val="22"/>
                      <w:szCs w:val="22"/>
                    </w:rPr>
                    <w:t>I</w:t>
                  </w:r>
                  <w:r w:rsidR="00221206" w:rsidRPr="00E17F09">
                    <w:rPr>
                      <w:bCs/>
                      <w:sz w:val="22"/>
                      <w:szCs w:val="22"/>
                    </w:rPr>
                    <w:t>ncrease the percentage of first-time, full-time degree-seeking undergraduate AAPI students graduating within three years</w:t>
                  </w:r>
                  <w:r w:rsidRPr="00E17F09">
                    <w:rPr>
                      <w:bCs/>
                      <w:sz w:val="22"/>
                      <w:szCs w:val="22"/>
                    </w:rPr>
                    <w:t>.</w:t>
                  </w:r>
                </w:p>
                <w:p w14:paraId="630C11BF" w14:textId="77777777" w:rsidR="00221206" w:rsidRPr="00E17F09" w:rsidRDefault="00DC727B" w:rsidP="00893D2E">
                  <w:pPr>
                    <w:tabs>
                      <w:tab w:val="left" w:pos="281"/>
                    </w:tabs>
                    <w:spacing w:after="80"/>
                    <w:rPr>
                      <w:bCs/>
                      <w:sz w:val="22"/>
                      <w:szCs w:val="22"/>
                    </w:rPr>
                  </w:pPr>
                  <w:r w:rsidRPr="00E17F09">
                    <w:rPr>
                      <w:bCs/>
                      <w:sz w:val="22"/>
                      <w:szCs w:val="22"/>
                    </w:rPr>
                    <w:t>T</w:t>
                  </w:r>
                  <w:r w:rsidR="00221206" w:rsidRPr="00E17F09">
                    <w:rPr>
                      <w:bCs/>
                      <w:sz w:val="22"/>
                      <w:szCs w:val="22"/>
                    </w:rPr>
                    <w:t>he graduation rate for first-time, full-time, degree-seeking AAPI undergraduate students was</w:t>
                  </w:r>
                  <w:r w:rsidR="003929D9" w:rsidRPr="00E17F09">
                    <w:rPr>
                      <w:bCs/>
                      <w:sz w:val="22"/>
                      <w:szCs w:val="22"/>
                    </w:rPr>
                    <w:t xml:space="preserve"> 37%,</w:t>
                  </w:r>
                  <w:r w:rsidR="00221206" w:rsidRPr="00E17F09">
                    <w:rPr>
                      <w:bCs/>
                      <w:sz w:val="22"/>
                      <w:szCs w:val="22"/>
                    </w:rPr>
                    <w:t xml:space="preserve"> better than the overall first-time, full-time, degree-seeking graduation rate, which was 34%.</w:t>
                  </w:r>
                </w:p>
                <w:p w14:paraId="6111B1D7" w14:textId="77777777" w:rsidR="00CF446B" w:rsidRPr="00E17F09" w:rsidRDefault="00CF446B" w:rsidP="00DC727B">
                  <w:pPr>
                    <w:tabs>
                      <w:tab w:val="left" w:pos="281"/>
                    </w:tabs>
                    <w:spacing w:after="80"/>
                    <w:rPr>
                      <w:bCs/>
                      <w:sz w:val="22"/>
                      <w:szCs w:val="22"/>
                    </w:rPr>
                  </w:pPr>
                </w:p>
              </w:tc>
            </w:tr>
            <w:tr w:rsidR="00CF446B" w14:paraId="651F86AA" w14:textId="77777777" w:rsidTr="00CF446B">
              <w:tc>
                <w:tcPr>
                  <w:tcW w:w="3074" w:type="dxa"/>
                </w:tcPr>
                <w:p w14:paraId="0050FF78" w14:textId="77777777" w:rsidR="00F504E2" w:rsidRPr="00E17F09" w:rsidRDefault="00F504E2" w:rsidP="00893D2E">
                  <w:pPr>
                    <w:tabs>
                      <w:tab w:val="left" w:pos="281"/>
                    </w:tabs>
                    <w:spacing w:after="80"/>
                    <w:rPr>
                      <w:bCs/>
                      <w:sz w:val="22"/>
                      <w:szCs w:val="22"/>
                    </w:rPr>
                  </w:pPr>
                  <w:r w:rsidRPr="00E17F09">
                    <w:rPr>
                      <w:bCs/>
                      <w:sz w:val="22"/>
                      <w:szCs w:val="22"/>
                    </w:rPr>
                    <w:t>Supported UPRISE Pacific Islander Education Conference</w:t>
                  </w:r>
                </w:p>
                <w:p w14:paraId="3E655A2A" w14:textId="77777777" w:rsidR="00F504E2" w:rsidRPr="00E17F09" w:rsidRDefault="00E57B08" w:rsidP="00893D2E">
                  <w:pPr>
                    <w:tabs>
                      <w:tab w:val="left" w:pos="281"/>
                    </w:tabs>
                    <w:spacing w:after="80"/>
                    <w:rPr>
                      <w:bCs/>
                      <w:sz w:val="22"/>
                      <w:szCs w:val="22"/>
                    </w:rPr>
                  </w:pPr>
                  <w:r w:rsidRPr="00E17F09">
                    <w:rPr>
                      <w:bCs/>
                      <w:sz w:val="22"/>
                      <w:szCs w:val="22"/>
                    </w:rPr>
                    <w:t>Tabled at</w:t>
                  </w:r>
                  <w:r w:rsidR="00F504E2" w:rsidRPr="00E17F09">
                    <w:rPr>
                      <w:bCs/>
                      <w:sz w:val="22"/>
                      <w:szCs w:val="22"/>
                    </w:rPr>
                    <w:t xml:space="preserve"> Community Outreach</w:t>
                  </w:r>
                  <w:r w:rsidRPr="00E17F09">
                    <w:rPr>
                      <w:bCs/>
                      <w:sz w:val="22"/>
                      <w:szCs w:val="22"/>
                    </w:rPr>
                    <w:t xml:space="preserve"> events and outreached to area High Schools to increase AAPI enrollments.</w:t>
                  </w:r>
                </w:p>
                <w:p w14:paraId="5140C03F" w14:textId="77777777" w:rsidR="00996763" w:rsidRPr="00E17F09" w:rsidRDefault="00F504E2" w:rsidP="00893D2E">
                  <w:pPr>
                    <w:tabs>
                      <w:tab w:val="left" w:pos="281"/>
                    </w:tabs>
                    <w:spacing w:after="80"/>
                    <w:rPr>
                      <w:bCs/>
                      <w:sz w:val="22"/>
                      <w:szCs w:val="22"/>
                    </w:rPr>
                  </w:pPr>
                  <w:r w:rsidRPr="00E17F09">
                    <w:rPr>
                      <w:bCs/>
                      <w:sz w:val="22"/>
                      <w:szCs w:val="22"/>
                    </w:rPr>
                    <w:t>Collaborated with the PI Collective to offer over 30 AA &amp; PI Heritage Month events</w:t>
                  </w:r>
                  <w:r w:rsidR="00996763" w:rsidRPr="00E17F09">
                    <w:rPr>
                      <w:bCs/>
                      <w:sz w:val="22"/>
                      <w:szCs w:val="22"/>
                    </w:rPr>
                    <w:t xml:space="preserve"> to engage</w:t>
                  </w:r>
                  <w:r w:rsidRPr="00E17F09">
                    <w:rPr>
                      <w:bCs/>
                      <w:sz w:val="22"/>
                      <w:szCs w:val="22"/>
                    </w:rPr>
                    <w:t xml:space="preserve"> students, faculty, and staff</w:t>
                  </w:r>
                  <w:r w:rsidR="00996763" w:rsidRPr="00E17F09">
                    <w:rPr>
                      <w:bCs/>
                      <w:sz w:val="22"/>
                      <w:szCs w:val="22"/>
                    </w:rPr>
                    <w:t xml:space="preserve"> in PI Culture.  </w:t>
                  </w:r>
                </w:p>
                <w:p w14:paraId="3C1C0196" w14:textId="77777777" w:rsidR="00996763" w:rsidRPr="00E17F09" w:rsidRDefault="00996763" w:rsidP="00893D2E">
                  <w:pPr>
                    <w:tabs>
                      <w:tab w:val="left" w:pos="281"/>
                    </w:tabs>
                    <w:spacing w:after="80"/>
                    <w:rPr>
                      <w:bCs/>
                      <w:sz w:val="22"/>
                      <w:szCs w:val="22"/>
                    </w:rPr>
                  </w:pPr>
                  <w:r w:rsidRPr="00E17F09">
                    <w:rPr>
                      <w:bCs/>
                      <w:sz w:val="22"/>
                      <w:szCs w:val="22"/>
                    </w:rPr>
                    <w:t>Reached out to campus AA faculty and staff to provide AA/SEA focused AA &amp; PI Heritage Month events.</w:t>
                  </w:r>
                </w:p>
                <w:p w14:paraId="1975A306" w14:textId="77777777" w:rsidR="00F504E2" w:rsidRPr="00E17F09" w:rsidRDefault="00CF2846" w:rsidP="00E57B08">
                  <w:pPr>
                    <w:rPr>
                      <w:rFonts w:eastAsiaTheme="minorHAnsi"/>
                      <w:sz w:val="22"/>
                      <w:szCs w:val="22"/>
                    </w:rPr>
                  </w:pPr>
                  <w:r w:rsidRPr="00E17F09">
                    <w:rPr>
                      <w:rFonts w:eastAsiaTheme="minorHAnsi"/>
                      <w:sz w:val="22"/>
                      <w:szCs w:val="22"/>
                    </w:rPr>
                    <w:t xml:space="preserve">AANAPISI Center services survey </w:t>
                  </w:r>
                  <w:r w:rsidR="00F504E2" w:rsidRPr="00E17F09">
                    <w:rPr>
                      <w:rFonts w:eastAsiaTheme="minorHAnsi"/>
                      <w:sz w:val="22"/>
                      <w:szCs w:val="22"/>
                    </w:rPr>
                    <w:t>respondents participated in:</w:t>
                  </w:r>
                </w:p>
                <w:p w14:paraId="50FBD440" w14:textId="77777777" w:rsidR="00F504E2" w:rsidRPr="00E17F09" w:rsidRDefault="00CF2846" w:rsidP="00F504E2">
                  <w:pPr>
                    <w:ind w:left="15"/>
                    <w:rPr>
                      <w:rFonts w:eastAsiaTheme="minorHAnsi"/>
                      <w:sz w:val="22"/>
                      <w:szCs w:val="22"/>
                    </w:rPr>
                  </w:pPr>
                  <w:r w:rsidRPr="00E17F09">
                    <w:rPr>
                      <w:rFonts w:eastAsiaTheme="minorHAnsi"/>
                      <w:sz w:val="22"/>
                      <w:szCs w:val="22"/>
                    </w:rPr>
                    <w:t xml:space="preserve">Center </w:t>
                  </w:r>
                  <w:r w:rsidR="00F504E2" w:rsidRPr="00E17F09">
                    <w:rPr>
                      <w:rFonts w:eastAsiaTheme="minorHAnsi"/>
                      <w:sz w:val="22"/>
                      <w:szCs w:val="22"/>
                    </w:rPr>
                    <w:t>advising:</w:t>
                  </w:r>
                  <w:r w:rsidRPr="00E17F09">
                    <w:rPr>
                      <w:rFonts w:eastAsiaTheme="minorHAnsi"/>
                      <w:sz w:val="22"/>
                      <w:szCs w:val="22"/>
                    </w:rPr>
                    <w:t xml:space="preserve"> </w:t>
                  </w:r>
                  <w:r w:rsidR="00F504E2" w:rsidRPr="00E17F09">
                    <w:rPr>
                      <w:rFonts w:eastAsiaTheme="minorHAnsi"/>
                      <w:sz w:val="22"/>
                      <w:szCs w:val="22"/>
                    </w:rPr>
                    <w:t>100%</w:t>
                  </w:r>
                </w:p>
                <w:p w14:paraId="680A887E" w14:textId="77777777" w:rsidR="00F504E2" w:rsidRPr="00E17F09" w:rsidRDefault="00CF2846" w:rsidP="00F504E2">
                  <w:pPr>
                    <w:ind w:left="15"/>
                    <w:rPr>
                      <w:rFonts w:eastAsiaTheme="minorHAnsi"/>
                      <w:sz w:val="22"/>
                      <w:szCs w:val="22"/>
                    </w:rPr>
                  </w:pPr>
                  <w:r w:rsidRPr="00E17F09">
                    <w:rPr>
                      <w:rFonts w:eastAsiaTheme="minorHAnsi"/>
                      <w:sz w:val="22"/>
                      <w:szCs w:val="22"/>
                    </w:rPr>
                    <w:t xml:space="preserve">Ethnic learning community </w:t>
                  </w:r>
                  <w:r w:rsidR="00F504E2" w:rsidRPr="00E17F09">
                    <w:rPr>
                      <w:rFonts w:eastAsiaTheme="minorHAnsi"/>
                      <w:sz w:val="22"/>
                      <w:szCs w:val="22"/>
                    </w:rPr>
                    <w:t xml:space="preserve">courses: </w:t>
                  </w:r>
                  <w:r w:rsidRPr="00E17F09">
                    <w:rPr>
                      <w:rFonts w:eastAsiaTheme="minorHAnsi"/>
                      <w:sz w:val="22"/>
                      <w:szCs w:val="22"/>
                    </w:rPr>
                    <w:t>67%</w:t>
                  </w:r>
                </w:p>
                <w:p w14:paraId="77234387" w14:textId="77777777" w:rsidR="00CF2846" w:rsidRPr="00E17F09" w:rsidRDefault="00F504E2" w:rsidP="00F504E2">
                  <w:pPr>
                    <w:ind w:left="15"/>
                    <w:rPr>
                      <w:rFonts w:eastAsiaTheme="minorHAnsi"/>
                      <w:sz w:val="22"/>
                      <w:szCs w:val="22"/>
                    </w:rPr>
                  </w:pPr>
                  <w:r w:rsidRPr="00E17F09">
                    <w:rPr>
                      <w:rFonts w:eastAsiaTheme="minorHAnsi"/>
                      <w:sz w:val="22"/>
                      <w:szCs w:val="22"/>
                    </w:rPr>
                    <w:t>College workshops</w:t>
                  </w:r>
                  <w:r w:rsidR="00CF2846" w:rsidRPr="00E17F09">
                    <w:rPr>
                      <w:rFonts w:eastAsiaTheme="minorHAnsi"/>
                      <w:sz w:val="22"/>
                      <w:szCs w:val="22"/>
                    </w:rPr>
                    <w:t xml:space="preserve">, e.g. </w:t>
                  </w:r>
                  <w:r w:rsidRPr="00E17F09">
                    <w:rPr>
                      <w:rFonts w:eastAsiaTheme="minorHAnsi"/>
                      <w:sz w:val="22"/>
                      <w:szCs w:val="22"/>
                    </w:rPr>
                    <w:t>scholarships, per</w:t>
                  </w:r>
                  <w:r w:rsidR="00CF2846" w:rsidRPr="00E17F09">
                    <w:rPr>
                      <w:rFonts w:eastAsiaTheme="minorHAnsi"/>
                      <w:sz w:val="22"/>
                      <w:szCs w:val="22"/>
                    </w:rPr>
                    <w:t>sonal statement, financial aid</w:t>
                  </w:r>
                  <w:r w:rsidRPr="00E17F09">
                    <w:rPr>
                      <w:rFonts w:eastAsiaTheme="minorHAnsi"/>
                      <w:sz w:val="22"/>
                      <w:szCs w:val="22"/>
                    </w:rPr>
                    <w:t xml:space="preserve">.: </w:t>
                  </w:r>
                  <w:r w:rsidR="00CF2846" w:rsidRPr="00E17F09">
                    <w:rPr>
                      <w:rFonts w:eastAsiaTheme="minorHAnsi"/>
                      <w:sz w:val="22"/>
                      <w:szCs w:val="22"/>
                    </w:rPr>
                    <w:t xml:space="preserve"> 83%</w:t>
                  </w:r>
                  <w:r w:rsidRPr="00E17F09">
                    <w:rPr>
                      <w:rFonts w:eastAsiaTheme="minorHAnsi"/>
                      <w:sz w:val="22"/>
                      <w:szCs w:val="22"/>
                    </w:rPr>
                    <w:t xml:space="preserve"> </w:t>
                  </w:r>
                </w:p>
                <w:p w14:paraId="1EE2989E" w14:textId="77777777" w:rsidR="00F504E2" w:rsidRPr="00E17F09" w:rsidRDefault="00F504E2" w:rsidP="00F504E2">
                  <w:pPr>
                    <w:ind w:left="15"/>
                    <w:rPr>
                      <w:rFonts w:eastAsiaTheme="minorHAnsi"/>
                      <w:sz w:val="22"/>
                      <w:szCs w:val="22"/>
                    </w:rPr>
                  </w:pPr>
                  <w:r w:rsidRPr="00E17F09">
                    <w:rPr>
                      <w:rFonts w:eastAsiaTheme="minorHAnsi"/>
                      <w:sz w:val="22"/>
                      <w:szCs w:val="22"/>
                    </w:rPr>
                    <w:t xml:space="preserve">Student Ambassador/peer </w:t>
                  </w:r>
                  <w:r w:rsidR="00CF2846" w:rsidRPr="00E17F09">
                    <w:rPr>
                      <w:rFonts w:eastAsiaTheme="minorHAnsi"/>
                      <w:sz w:val="22"/>
                      <w:szCs w:val="22"/>
                    </w:rPr>
                    <w:t>support: 83</w:t>
                  </w:r>
                  <w:r w:rsidRPr="00E17F09">
                    <w:rPr>
                      <w:rFonts w:eastAsiaTheme="minorHAnsi"/>
                      <w:sz w:val="22"/>
                      <w:szCs w:val="22"/>
                    </w:rPr>
                    <w:t>%</w:t>
                  </w:r>
                </w:p>
                <w:p w14:paraId="7605A190" w14:textId="77777777" w:rsidR="00F504E2" w:rsidRPr="00E17F09" w:rsidRDefault="00F504E2" w:rsidP="00F504E2">
                  <w:pPr>
                    <w:ind w:left="15"/>
                    <w:rPr>
                      <w:rFonts w:eastAsiaTheme="minorHAnsi"/>
                      <w:sz w:val="22"/>
                      <w:szCs w:val="22"/>
                    </w:rPr>
                  </w:pPr>
                  <w:r w:rsidRPr="00E17F09">
                    <w:rPr>
                      <w:rFonts w:eastAsiaTheme="minorHAnsi"/>
                      <w:sz w:val="22"/>
                      <w:szCs w:val="22"/>
                    </w:rPr>
                    <w:t>Mentoring:</w:t>
                  </w:r>
                  <w:r w:rsidR="00CF2846" w:rsidRPr="00E17F09">
                    <w:rPr>
                      <w:rFonts w:eastAsiaTheme="minorHAnsi"/>
                      <w:sz w:val="22"/>
                      <w:szCs w:val="22"/>
                    </w:rPr>
                    <w:t xml:space="preserve"> </w:t>
                  </w:r>
                  <w:r w:rsidRPr="00E17F09">
                    <w:rPr>
                      <w:rFonts w:eastAsiaTheme="minorHAnsi"/>
                      <w:sz w:val="22"/>
                      <w:szCs w:val="22"/>
                    </w:rPr>
                    <w:t>67%</w:t>
                  </w:r>
                </w:p>
                <w:p w14:paraId="51140C0B" w14:textId="77777777" w:rsidR="00F504E2" w:rsidRPr="00E17F09" w:rsidRDefault="00F504E2" w:rsidP="00F504E2">
                  <w:pPr>
                    <w:ind w:left="15"/>
                    <w:rPr>
                      <w:rFonts w:eastAsiaTheme="minorHAnsi"/>
                      <w:sz w:val="22"/>
                      <w:szCs w:val="22"/>
                    </w:rPr>
                  </w:pPr>
                  <w:r w:rsidRPr="00E17F09">
                    <w:rPr>
                      <w:rFonts w:eastAsiaTheme="minorHAnsi"/>
                      <w:sz w:val="22"/>
                      <w:szCs w:val="22"/>
                    </w:rPr>
                    <w:t xml:space="preserve">Study </w:t>
                  </w:r>
                  <w:r w:rsidR="00CF2846" w:rsidRPr="00E17F09">
                    <w:rPr>
                      <w:rFonts w:eastAsiaTheme="minorHAnsi"/>
                      <w:sz w:val="22"/>
                      <w:szCs w:val="22"/>
                    </w:rPr>
                    <w:t>H</w:t>
                  </w:r>
                  <w:r w:rsidRPr="00E17F09">
                    <w:rPr>
                      <w:rFonts w:eastAsiaTheme="minorHAnsi"/>
                      <w:sz w:val="22"/>
                      <w:szCs w:val="22"/>
                    </w:rPr>
                    <w:t>all:</w:t>
                  </w:r>
                  <w:r w:rsidR="00CF2846" w:rsidRPr="00E17F09">
                    <w:rPr>
                      <w:rFonts w:eastAsiaTheme="minorHAnsi"/>
                      <w:sz w:val="22"/>
                      <w:szCs w:val="22"/>
                    </w:rPr>
                    <w:t xml:space="preserve"> </w:t>
                  </w:r>
                  <w:r w:rsidRPr="00E17F09">
                    <w:rPr>
                      <w:rFonts w:eastAsiaTheme="minorHAnsi"/>
                      <w:sz w:val="22"/>
                      <w:szCs w:val="22"/>
                    </w:rPr>
                    <w:t>67</w:t>
                  </w:r>
                  <w:r w:rsidR="00CF2846" w:rsidRPr="00E17F09">
                    <w:rPr>
                      <w:rFonts w:eastAsiaTheme="minorHAnsi"/>
                      <w:sz w:val="22"/>
                      <w:szCs w:val="22"/>
                    </w:rPr>
                    <w:t>%</w:t>
                  </w:r>
                </w:p>
                <w:p w14:paraId="091EF038" w14:textId="77777777" w:rsidR="007D499D" w:rsidRPr="00E17F09" w:rsidRDefault="007D499D" w:rsidP="00893D2E">
                  <w:pPr>
                    <w:tabs>
                      <w:tab w:val="left" w:pos="281"/>
                    </w:tabs>
                    <w:spacing w:after="80"/>
                    <w:rPr>
                      <w:bCs/>
                      <w:sz w:val="22"/>
                      <w:szCs w:val="22"/>
                    </w:rPr>
                  </w:pPr>
                </w:p>
              </w:tc>
              <w:tc>
                <w:tcPr>
                  <w:tcW w:w="3075" w:type="dxa"/>
                </w:tcPr>
                <w:p w14:paraId="02F24F3E" w14:textId="77777777" w:rsidR="00CF446B" w:rsidRPr="00E17F09" w:rsidRDefault="00C21A41" w:rsidP="00893D2E">
                  <w:pPr>
                    <w:tabs>
                      <w:tab w:val="left" w:pos="281"/>
                    </w:tabs>
                    <w:spacing w:after="80"/>
                    <w:rPr>
                      <w:bCs/>
                      <w:sz w:val="22"/>
                      <w:szCs w:val="22"/>
                    </w:rPr>
                  </w:pPr>
                  <w:r w:rsidRPr="00E17F09">
                    <w:rPr>
                      <w:bCs/>
                      <w:sz w:val="22"/>
                      <w:szCs w:val="22"/>
                    </w:rPr>
                    <w:t>3,2.2: Participation rates reflect meaningful community connections and confidence in the quality of college offerings.</w:t>
                  </w:r>
                </w:p>
              </w:tc>
              <w:tc>
                <w:tcPr>
                  <w:tcW w:w="3075" w:type="dxa"/>
                </w:tcPr>
                <w:p w14:paraId="24D6A829" w14:textId="77777777" w:rsidR="00363560" w:rsidRPr="00E17F09" w:rsidRDefault="00363560" w:rsidP="00363560">
                  <w:pPr>
                    <w:tabs>
                      <w:tab w:val="left" w:pos="281"/>
                    </w:tabs>
                    <w:spacing w:after="80"/>
                    <w:rPr>
                      <w:bCs/>
                      <w:sz w:val="22"/>
                      <w:szCs w:val="22"/>
                    </w:rPr>
                  </w:pPr>
                  <w:r w:rsidRPr="00E17F09">
                    <w:rPr>
                      <w:bCs/>
                      <w:sz w:val="22"/>
                      <w:szCs w:val="22"/>
                    </w:rPr>
                    <w:t>Grant Objective 1.1:</w:t>
                  </w:r>
                </w:p>
                <w:p w14:paraId="59FDEDEF" w14:textId="77777777" w:rsidR="00221206" w:rsidRPr="00E17F09" w:rsidRDefault="00363560" w:rsidP="00363560">
                  <w:pPr>
                    <w:tabs>
                      <w:tab w:val="left" w:pos="281"/>
                    </w:tabs>
                    <w:spacing w:after="80"/>
                    <w:rPr>
                      <w:bCs/>
                      <w:sz w:val="22"/>
                      <w:szCs w:val="22"/>
                    </w:rPr>
                  </w:pPr>
                  <w:r w:rsidRPr="00E17F09">
                    <w:rPr>
                      <w:bCs/>
                      <w:sz w:val="22"/>
                      <w:szCs w:val="22"/>
                    </w:rPr>
                    <w:t>I</w:t>
                  </w:r>
                  <w:r w:rsidR="00221206" w:rsidRPr="00E17F09">
                    <w:rPr>
                      <w:bCs/>
                      <w:sz w:val="22"/>
                      <w:szCs w:val="22"/>
                    </w:rPr>
                    <w:t>ncrease the number of first-time, full-time degree-seeking undergraduate students in the AAPI general population attending college</w:t>
                  </w:r>
                  <w:r w:rsidRPr="00E17F09">
                    <w:rPr>
                      <w:bCs/>
                      <w:sz w:val="22"/>
                      <w:szCs w:val="22"/>
                    </w:rPr>
                    <w:t>.</w:t>
                  </w:r>
                </w:p>
                <w:p w14:paraId="7D9DCDC6" w14:textId="77777777" w:rsidR="00363560" w:rsidRPr="00E17F09" w:rsidRDefault="00221206" w:rsidP="00363560">
                  <w:pPr>
                    <w:tabs>
                      <w:tab w:val="left" w:pos="281"/>
                    </w:tabs>
                    <w:spacing w:after="80"/>
                    <w:rPr>
                      <w:bCs/>
                      <w:sz w:val="22"/>
                      <w:szCs w:val="22"/>
                    </w:rPr>
                  </w:pPr>
                  <w:r w:rsidRPr="00E17F09">
                    <w:rPr>
                      <w:bCs/>
                      <w:sz w:val="22"/>
                      <w:szCs w:val="22"/>
                    </w:rPr>
                    <w:t>AAPI students went from comprising 21% of full-time students, to a 25% of full-time students</w:t>
                  </w:r>
                  <w:r w:rsidR="00363560" w:rsidRPr="00E17F09">
                    <w:rPr>
                      <w:bCs/>
                      <w:sz w:val="22"/>
                      <w:szCs w:val="22"/>
                    </w:rPr>
                    <w:t>.</w:t>
                  </w:r>
                </w:p>
                <w:p w14:paraId="29EC30F9" w14:textId="77777777" w:rsidR="00CF446B" w:rsidRPr="00E17F09" w:rsidRDefault="00CF446B" w:rsidP="00893D2E">
                  <w:pPr>
                    <w:tabs>
                      <w:tab w:val="left" w:pos="281"/>
                    </w:tabs>
                    <w:spacing w:after="80"/>
                    <w:rPr>
                      <w:bCs/>
                      <w:sz w:val="22"/>
                      <w:szCs w:val="22"/>
                    </w:rPr>
                  </w:pPr>
                </w:p>
              </w:tc>
            </w:tr>
          </w:tbl>
          <w:p w14:paraId="057E092B" w14:textId="77777777" w:rsidR="00CF446B" w:rsidRPr="008D747B" w:rsidRDefault="00CF446B" w:rsidP="00893D2E">
            <w:pPr>
              <w:tabs>
                <w:tab w:val="left" w:pos="281"/>
              </w:tabs>
              <w:spacing w:after="80"/>
              <w:rPr>
                <w:rFonts w:ascii="Calibri" w:hAnsi="Calibri" w:cs="Calibri"/>
                <w:bCs/>
                <w:sz w:val="22"/>
                <w:szCs w:val="22"/>
              </w:rPr>
            </w:pPr>
          </w:p>
        </w:tc>
      </w:tr>
      <w:bookmarkEnd w:id="0"/>
      <w:tr w:rsidR="0067085C" w:rsidRPr="000166BC" w14:paraId="2D197012" w14:textId="77777777" w:rsidTr="0067085C">
        <w:tc>
          <w:tcPr>
            <w:tcW w:w="9450" w:type="dxa"/>
            <w:shd w:val="clear" w:color="auto" w:fill="CAD8EC"/>
          </w:tcPr>
          <w:p w14:paraId="5CE089F5" w14:textId="77777777" w:rsidR="0067085C" w:rsidRPr="00005608" w:rsidRDefault="0067085C" w:rsidP="0067085C">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Pr="00005608">
              <w:rPr>
                <w:rFonts w:ascii="Calibri" w:hAnsi="Calibri" w:cs="Calibri"/>
                <w:b/>
                <w:bCs/>
                <w:sz w:val="22"/>
                <w:szCs w:val="22"/>
              </w:rPr>
              <w:t>trengths</w:t>
            </w:r>
            <w:r>
              <w:rPr>
                <w:rFonts w:ascii="Calibri" w:hAnsi="Calibri" w:cs="Calibri"/>
                <w:bCs/>
                <w:i/>
                <w:sz w:val="20"/>
                <w:szCs w:val="20"/>
              </w:rPr>
              <w:t xml:space="preserve"> </w:t>
            </w:r>
          </w:p>
        </w:tc>
      </w:tr>
      <w:tr w:rsidR="0067085C" w:rsidRPr="00B07AE8" w14:paraId="1A73BF58" w14:textId="77777777" w:rsidTr="0067085C">
        <w:trPr>
          <w:trHeight w:val="358"/>
        </w:trPr>
        <w:tc>
          <w:tcPr>
            <w:tcW w:w="9450" w:type="dxa"/>
            <w:shd w:val="clear" w:color="auto" w:fill="auto"/>
          </w:tcPr>
          <w:p w14:paraId="43ED23E0" w14:textId="77777777" w:rsidR="0067085C" w:rsidRPr="00C22532" w:rsidRDefault="00CF446B" w:rsidP="00142ED1">
            <w:pPr>
              <w:pStyle w:val="ListParagraph"/>
              <w:numPr>
                <w:ilvl w:val="0"/>
                <w:numId w:val="10"/>
              </w:numPr>
              <w:tabs>
                <w:tab w:val="left" w:pos="8514"/>
              </w:tabs>
              <w:spacing w:before="120" w:after="120"/>
              <w:contextualSpacing w:val="0"/>
              <w:rPr>
                <w:bCs/>
                <w:sz w:val="22"/>
                <w:szCs w:val="22"/>
              </w:rPr>
            </w:pPr>
            <w:r w:rsidRPr="00C22532">
              <w:rPr>
                <w:bCs/>
                <w:sz w:val="22"/>
                <w:szCs w:val="22"/>
              </w:rPr>
              <w:t>S</w:t>
            </w:r>
            <w:r w:rsidR="0012681B" w:rsidRPr="00C22532">
              <w:rPr>
                <w:bCs/>
                <w:sz w:val="22"/>
                <w:szCs w:val="22"/>
              </w:rPr>
              <w:t>taff</w:t>
            </w:r>
            <w:r w:rsidRPr="00C22532">
              <w:rPr>
                <w:bCs/>
                <w:sz w:val="22"/>
                <w:szCs w:val="22"/>
              </w:rPr>
              <w:t xml:space="preserve"> and student ambassador representation of targeted population </w:t>
            </w:r>
          </w:p>
          <w:p w14:paraId="7B863132" w14:textId="77777777" w:rsidR="00CF446B" w:rsidRPr="00C22532" w:rsidRDefault="00CF446B" w:rsidP="00142ED1">
            <w:pPr>
              <w:pStyle w:val="ListParagraph"/>
              <w:numPr>
                <w:ilvl w:val="0"/>
                <w:numId w:val="10"/>
              </w:numPr>
              <w:tabs>
                <w:tab w:val="left" w:pos="8514"/>
              </w:tabs>
              <w:spacing w:before="120" w:after="120"/>
              <w:contextualSpacing w:val="0"/>
              <w:rPr>
                <w:bCs/>
                <w:sz w:val="22"/>
                <w:szCs w:val="22"/>
              </w:rPr>
            </w:pPr>
            <w:r w:rsidRPr="00C22532">
              <w:rPr>
                <w:bCs/>
                <w:sz w:val="22"/>
                <w:szCs w:val="22"/>
              </w:rPr>
              <w:t>Culturally competent staff</w:t>
            </w:r>
            <w:r w:rsidR="003647AE" w:rsidRPr="00C22532">
              <w:rPr>
                <w:bCs/>
                <w:sz w:val="22"/>
                <w:szCs w:val="22"/>
              </w:rPr>
              <w:t xml:space="preserve"> to develop and lead programming to targeted populations</w:t>
            </w:r>
          </w:p>
          <w:p w14:paraId="661A4FC9" w14:textId="02D58468" w:rsidR="0067085C" w:rsidRPr="00B07AE8" w:rsidRDefault="00CF446B" w:rsidP="00126557">
            <w:pPr>
              <w:pStyle w:val="ListParagraph"/>
              <w:numPr>
                <w:ilvl w:val="0"/>
                <w:numId w:val="10"/>
              </w:numPr>
              <w:tabs>
                <w:tab w:val="left" w:pos="8514"/>
              </w:tabs>
              <w:spacing w:before="120" w:after="120"/>
              <w:contextualSpacing w:val="0"/>
              <w:rPr>
                <w:rFonts w:ascii="Calibri" w:hAnsi="Calibri" w:cs="Calibri"/>
                <w:bCs/>
                <w:sz w:val="22"/>
                <w:szCs w:val="22"/>
              </w:rPr>
            </w:pPr>
            <w:r w:rsidRPr="00C22532">
              <w:rPr>
                <w:bCs/>
                <w:sz w:val="22"/>
                <w:szCs w:val="22"/>
              </w:rPr>
              <w:t xml:space="preserve">Collaboration </w:t>
            </w:r>
            <w:r w:rsidR="0012681B" w:rsidRPr="00C22532">
              <w:rPr>
                <w:bCs/>
                <w:sz w:val="22"/>
                <w:szCs w:val="22"/>
              </w:rPr>
              <w:t>with Umoja, TRiO, CLS</w:t>
            </w:r>
            <w:r w:rsidR="00126557">
              <w:rPr>
                <w:bCs/>
                <w:sz w:val="22"/>
                <w:szCs w:val="22"/>
              </w:rPr>
              <w:t>, Transfer and Pre-college programs,</w:t>
            </w:r>
            <w:r w:rsidR="00DA3F0F" w:rsidRPr="00C22532">
              <w:rPr>
                <w:bCs/>
                <w:sz w:val="22"/>
                <w:szCs w:val="22"/>
              </w:rPr>
              <w:t xml:space="preserve"> and other</w:t>
            </w:r>
            <w:r w:rsidR="00126557">
              <w:rPr>
                <w:bCs/>
                <w:sz w:val="22"/>
                <w:szCs w:val="22"/>
              </w:rPr>
              <w:t xml:space="preserve"> student engagement </w:t>
            </w:r>
            <w:bookmarkStart w:id="1" w:name="_GoBack"/>
            <w:bookmarkEnd w:id="1"/>
            <w:r w:rsidR="00126557">
              <w:rPr>
                <w:bCs/>
                <w:sz w:val="22"/>
                <w:szCs w:val="22"/>
              </w:rPr>
              <w:t>programs</w:t>
            </w:r>
          </w:p>
        </w:tc>
      </w:tr>
      <w:tr w:rsidR="0067085C" w:rsidRPr="000166BC" w14:paraId="052F742F" w14:textId="77777777" w:rsidTr="0067085C">
        <w:tc>
          <w:tcPr>
            <w:tcW w:w="9450" w:type="dxa"/>
            <w:shd w:val="clear" w:color="auto" w:fill="DBE5F1"/>
          </w:tcPr>
          <w:p w14:paraId="658046F8" w14:textId="77777777" w:rsidR="0067085C" w:rsidRPr="00005608" w:rsidRDefault="0067085C" w:rsidP="0067085C">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Pr="00005608">
              <w:rPr>
                <w:rFonts w:ascii="Calibri" w:hAnsi="Calibri" w:cs="Calibri"/>
                <w:b/>
                <w:bCs/>
                <w:sz w:val="22"/>
                <w:szCs w:val="22"/>
              </w:rPr>
              <w:t xml:space="preserve">hallenges </w:t>
            </w:r>
          </w:p>
        </w:tc>
      </w:tr>
      <w:tr w:rsidR="0067085C" w:rsidRPr="00B07AE8" w14:paraId="5720B8E3" w14:textId="77777777" w:rsidTr="0067085C">
        <w:trPr>
          <w:trHeight w:val="142"/>
        </w:trPr>
        <w:tc>
          <w:tcPr>
            <w:tcW w:w="9450" w:type="dxa"/>
            <w:shd w:val="clear" w:color="auto" w:fill="auto"/>
          </w:tcPr>
          <w:p w14:paraId="0888EB9F" w14:textId="77777777" w:rsidR="00CF446B" w:rsidRPr="00C22532" w:rsidRDefault="003647AE" w:rsidP="00142ED1">
            <w:pPr>
              <w:pStyle w:val="ListParagraph"/>
              <w:numPr>
                <w:ilvl w:val="0"/>
                <w:numId w:val="11"/>
              </w:numPr>
              <w:tabs>
                <w:tab w:val="left" w:pos="8514"/>
              </w:tabs>
              <w:spacing w:before="120" w:after="120"/>
              <w:contextualSpacing w:val="0"/>
              <w:rPr>
                <w:bCs/>
                <w:sz w:val="22"/>
                <w:szCs w:val="22"/>
              </w:rPr>
            </w:pPr>
            <w:r w:rsidRPr="00C22532">
              <w:rPr>
                <w:bCs/>
                <w:sz w:val="22"/>
                <w:szCs w:val="22"/>
              </w:rPr>
              <w:t>Uncertain budget</w:t>
            </w:r>
            <w:r w:rsidR="00942581" w:rsidRPr="00C22532">
              <w:rPr>
                <w:bCs/>
                <w:sz w:val="22"/>
                <w:szCs w:val="22"/>
              </w:rPr>
              <w:t>. I</w:t>
            </w:r>
            <w:r w:rsidRPr="00C22532">
              <w:rPr>
                <w:bCs/>
                <w:sz w:val="22"/>
                <w:szCs w:val="22"/>
              </w:rPr>
              <w:t>nability to confirm actual budget with Accounting</w:t>
            </w:r>
            <w:r w:rsidR="00942581" w:rsidRPr="00C22532">
              <w:rPr>
                <w:bCs/>
                <w:sz w:val="22"/>
                <w:szCs w:val="22"/>
              </w:rPr>
              <w:t xml:space="preserve"> until three months into the final year of the grant, impacting the project director’s ability to manage the budget and staffing levels.</w:t>
            </w:r>
          </w:p>
          <w:p w14:paraId="07C3DD40" w14:textId="77777777" w:rsidR="00942581" w:rsidRPr="00C22532" w:rsidRDefault="00942581" w:rsidP="00142ED1">
            <w:pPr>
              <w:pStyle w:val="ListParagraph"/>
              <w:numPr>
                <w:ilvl w:val="0"/>
                <w:numId w:val="11"/>
              </w:numPr>
              <w:tabs>
                <w:tab w:val="left" w:pos="8514"/>
              </w:tabs>
              <w:spacing w:before="120" w:after="120"/>
              <w:contextualSpacing w:val="0"/>
              <w:rPr>
                <w:bCs/>
                <w:sz w:val="22"/>
                <w:szCs w:val="22"/>
              </w:rPr>
            </w:pPr>
            <w:r w:rsidRPr="00C22532">
              <w:rPr>
                <w:bCs/>
                <w:sz w:val="22"/>
                <w:szCs w:val="22"/>
              </w:rPr>
              <w:t>Change in direction for the grant in the final 16 months of the 60 month project to align with stated grant goals and performance objectives.</w:t>
            </w:r>
          </w:p>
          <w:p w14:paraId="000B935B" w14:textId="77777777" w:rsidR="0067085C" w:rsidRPr="00C22532" w:rsidRDefault="00942581" w:rsidP="00C22532">
            <w:pPr>
              <w:pStyle w:val="ListParagraph"/>
              <w:numPr>
                <w:ilvl w:val="0"/>
                <w:numId w:val="11"/>
              </w:numPr>
              <w:tabs>
                <w:tab w:val="left" w:pos="8514"/>
              </w:tabs>
              <w:spacing w:before="120" w:after="120"/>
              <w:contextualSpacing w:val="0"/>
              <w:rPr>
                <w:bCs/>
                <w:sz w:val="22"/>
                <w:szCs w:val="22"/>
              </w:rPr>
            </w:pPr>
            <w:r w:rsidRPr="00C22532">
              <w:rPr>
                <w:bCs/>
                <w:sz w:val="22"/>
                <w:szCs w:val="22"/>
              </w:rPr>
              <w:t>Uncertain</w:t>
            </w:r>
            <w:r w:rsidR="00DA3F0F" w:rsidRPr="00C22532">
              <w:rPr>
                <w:bCs/>
                <w:sz w:val="22"/>
                <w:szCs w:val="22"/>
              </w:rPr>
              <w:t xml:space="preserve"> future of the AANAPISI Center </w:t>
            </w:r>
            <w:r w:rsidRPr="00C22532">
              <w:rPr>
                <w:bCs/>
                <w:sz w:val="22"/>
                <w:szCs w:val="22"/>
              </w:rPr>
              <w:t xml:space="preserve">structure </w:t>
            </w:r>
            <w:r w:rsidR="00DA3F0F" w:rsidRPr="00C22532">
              <w:rPr>
                <w:bCs/>
                <w:sz w:val="22"/>
                <w:szCs w:val="22"/>
              </w:rPr>
              <w:t>post-grant</w:t>
            </w:r>
            <w:r w:rsidRPr="00C22532">
              <w:rPr>
                <w:bCs/>
                <w:sz w:val="22"/>
                <w:szCs w:val="22"/>
              </w:rPr>
              <w:t>.</w:t>
            </w:r>
          </w:p>
        </w:tc>
      </w:tr>
      <w:tr w:rsidR="0067085C" w:rsidRPr="000166BC" w14:paraId="4BA0EADB" w14:textId="77777777" w:rsidTr="0067085C">
        <w:tc>
          <w:tcPr>
            <w:tcW w:w="9450" w:type="dxa"/>
            <w:shd w:val="clear" w:color="auto" w:fill="DBE5F1"/>
          </w:tcPr>
          <w:p w14:paraId="1D61CA77" w14:textId="77777777" w:rsidR="0067085C" w:rsidRPr="00005608" w:rsidRDefault="0067085C" w:rsidP="0067085C">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Pr>
                <w:rFonts w:ascii="Calibri" w:hAnsi="Calibri" w:cs="Calibri"/>
                <w:b/>
                <w:bCs/>
                <w:sz w:val="22"/>
                <w:szCs w:val="22"/>
              </w:rPr>
              <w:t>you would like to improve</w:t>
            </w:r>
          </w:p>
        </w:tc>
      </w:tr>
      <w:tr w:rsidR="0067085C" w:rsidRPr="00C22532" w14:paraId="53874E13" w14:textId="77777777" w:rsidTr="0067085C">
        <w:trPr>
          <w:trHeight w:val="313"/>
        </w:trPr>
        <w:tc>
          <w:tcPr>
            <w:tcW w:w="9450" w:type="dxa"/>
            <w:shd w:val="clear" w:color="auto" w:fill="auto"/>
          </w:tcPr>
          <w:p w14:paraId="775EB32A" w14:textId="77777777" w:rsidR="0067085C" w:rsidRPr="00C22532" w:rsidRDefault="002E20EF" w:rsidP="00142ED1">
            <w:pPr>
              <w:pStyle w:val="ListParagraph"/>
              <w:numPr>
                <w:ilvl w:val="0"/>
                <w:numId w:val="12"/>
              </w:numPr>
              <w:tabs>
                <w:tab w:val="left" w:pos="8514"/>
              </w:tabs>
              <w:spacing w:before="120" w:after="120"/>
              <w:contextualSpacing w:val="0"/>
              <w:rPr>
                <w:bCs/>
                <w:sz w:val="22"/>
                <w:szCs w:val="22"/>
              </w:rPr>
            </w:pPr>
            <w:r w:rsidRPr="00C22532">
              <w:rPr>
                <w:bCs/>
                <w:sz w:val="22"/>
                <w:szCs w:val="22"/>
              </w:rPr>
              <w:t>Develop sustainable structure within the AANAPISI Center aligned with Guided Pathways.</w:t>
            </w:r>
          </w:p>
          <w:p w14:paraId="070C49C6" w14:textId="77777777" w:rsidR="002E20EF" w:rsidRPr="00C22532" w:rsidRDefault="002E20EF" w:rsidP="00142ED1">
            <w:pPr>
              <w:pStyle w:val="ListParagraph"/>
              <w:numPr>
                <w:ilvl w:val="0"/>
                <w:numId w:val="12"/>
              </w:numPr>
              <w:tabs>
                <w:tab w:val="left" w:pos="8514"/>
              </w:tabs>
              <w:spacing w:before="120" w:after="120"/>
              <w:contextualSpacing w:val="0"/>
              <w:rPr>
                <w:bCs/>
                <w:sz w:val="22"/>
                <w:szCs w:val="22"/>
              </w:rPr>
            </w:pPr>
            <w:r w:rsidRPr="00C22532">
              <w:rPr>
                <w:bCs/>
                <w:sz w:val="22"/>
                <w:szCs w:val="22"/>
              </w:rPr>
              <w:t>Improve ability to track student engagement and impact on persistence and success.</w:t>
            </w:r>
          </w:p>
          <w:p w14:paraId="7D76D99D" w14:textId="77777777" w:rsidR="0067085C" w:rsidRPr="00C22532" w:rsidRDefault="0067085C" w:rsidP="0067085C">
            <w:pPr>
              <w:tabs>
                <w:tab w:val="left" w:pos="8514"/>
              </w:tabs>
              <w:spacing w:before="60"/>
              <w:rPr>
                <w:bCs/>
                <w:sz w:val="22"/>
                <w:szCs w:val="22"/>
              </w:rPr>
            </w:pPr>
          </w:p>
        </w:tc>
      </w:tr>
    </w:tbl>
    <w:p w14:paraId="08CB1A6E" w14:textId="77777777" w:rsidR="00A7479D" w:rsidRPr="00A7479D" w:rsidRDefault="00A7479D">
      <w:pPr>
        <w:rPr>
          <w:sz w:val="4"/>
          <w:szCs w:val="4"/>
        </w:rPr>
      </w:pPr>
      <w:r>
        <w:br w:type="page"/>
      </w:r>
    </w:p>
    <w:tbl>
      <w:tblPr>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gridCol w:w="18"/>
      </w:tblGrid>
      <w:tr w:rsidR="00A145F7" w:rsidRPr="008D67F8" w14:paraId="075E4E41" w14:textId="77777777" w:rsidTr="00C22532">
        <w:trPr>
          <w:gridAfter w:val="1"/>
          <w:wAfter w:w="18" w:type="dxa"/>
        </w:trPr>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72C1942C" w14:textId="77777777" w:rsidR="00A145F7" w:rsidRPr="00005608" w:rsidRDefault="00A145F7" w:rsidP="00D443C8">
            <w:pPr>
              <w:tabs>
                <w:tab w:val="left" w:pos="8514"/>
              </w:tabs>
              <w:spacing w:before="60" w:after="60"/>
              <w:rPr>
                <w:rFonts w:ascii="Calibri" w:hAnsi="Calibri" w:cs="Calibri"/>
                <w:b/>
                <w:bCs/>
                <w:color w:val="FFFFFF"/>
                <w:szCs w:val="22"/>
              </w:rPr>
            </w:pPr>
            <w:r>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6BE4B774" w14:textId="77777777" w:rsidTr="00C22532">
        <w:trPr>
          <w:gridAfter w:val="1"/>
          <w:wAfter w:w="18" w:type="dxa"/>
        </w:trPr>
        <w:tc>
          <w:tcPr>
            <w:tcW w:w="9450" w:type="dxa"/>
            <w:shd w:val="clear" w:color="auto" w:fill="CAD8EC"/>
          </w:tcPr>
          <w:p w14:paraId="47ECC73D"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61A44EC4"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776EACB6" w14:textId="77777777"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29615D74" w14:textId="77777777" w:rsidTr="00C22532">
        <w:trPr>
          <w:gridAfter w:val="1"/>
          <w:wAfter w:w="18" w:type="dxa"/>
        </w:trPr>
        <w:tc>
          <w:tcPr>
            <w:tcW w:w="9450" w:type="dxa"/>
            <w:shd w:val="clear" w:color="auto" w:fill="auto"/>
          </w:tcPr>
          <w:p w14:paraId="405EC85D" w14:textId="77777777" w:rsidR="00DD7B5C" w:rsidRPr="00C22532" w:rsidRDefault="00C22532" w:rsidP="00142ED1">
            <w:pPr>
              <w:pStyle w:val="ListParagraph"/>
              <w:numPr>
                <w:ilvl w:val="0"/>
                <w:numId w:val="13"/>
              </w:numPr>
              <w:spacing w:before="120" w:after="120"/>
              <w:contextualSpacing w:val="0"/>
              <w:rPr>
                <w:rFonts w:ascii="Calibri Light" w:eastAsia="Calibri" w:hAnsi="Calibri Light" w:cs="Calibri Light"/>
                <w:sz w:val="22"/>
                <w:szCs w:val="22"/>
              </w:rPr>
            </w:pPr>
            <w:r>
              <w:rPr>
                <w:rFonts w:ascii="Calibri Light" w:eastAsia="Calibri" w:hAnsi="Calibri Light" w:cs="Calibri Light"/>
                <w:sz w:val="22"/>
                <w:szCs w:val="22"/>
              </w:rPr>
              <w:t>Close out the Title III, Part A-</w:t>
            </w:r>
            <w:r w:rsidR="00DD7B5C" w:rsidRPr="00C22532">
              <w:rPr>
                <w:rFonts w:ascii="Calibri Light" w:eastAsia="Calibri" w:hAnsi="Calibri Light" w:cs="Calibri Light"/>
                <w:sz w:val="22"/>
                <w:szCs w:val="22"/>
              </w:rPr>
              <w:t xml:space="preserve"> AANAPISI grant project</w:t>
            </w:r>
            <w:r>
              <w:rPr>
                <w:rFonts w:ascii="Calibri Light" w:eastAsia="Calibri" w:hAnsi="Calibri Light" w:cs="Calibri Light"/>
                <w:sz w:val="22"/>
                <w:szCs w:val="22"/>
              </w:rPr>
              <w:t xml:space="preserve"> (2015-2020) r</w:t>
            </w:r>
          </w:p>
          <w:p w14:paraId="0F396EEE" w14:textId="77777777" w:rsidR="00A145F7" w:rsidRPr="00C22532" w:rsidRDefault="002E20EF" w:rsidP="00142ED1">
            <w:pPr>
              <w:pStyle w:val="ListParagraph"/>
              <w:numPr>
                <w:ilvl w:val="0"/>
                <w:numId w:val="13"/>
              </w:numPr>
              <w:spacing w:before="120" w:after="120"/>
              <w:contextualSpacing w:val="0"/>
              <w:rPr>
                <w:rFonts w:ascii="Calibri Light" w:hAnsi="Calibri Light" w:cs="Calibri Light"/>
                <w:bCs/>
                <w:sz w:val="22"/>
                <w:szCs w:val="22"/>
              </w:rPr>
            </w:pPr>
            <w:r w:rsidRPr="00C22532">
              <w:rPr>
                <w:rFonts w:ascii="Calibri Light" w:eastAsia="Calibri" w:hAnsi="Calibri Light" w:cs="Calibri Light"/>
                <w:sz w:val="22"/>
                <w:szCs w:val="22"/>
              </w:rPr>
              <w:t xml:space="preserve">Apply for </w:t>
            </w:r>
            <w:r w:rsidR="00142ED1" w:rsidRPr="00C22532">
              <w:rPr>
                <w:rFonts w:ascii="Calibri Light" w:eastAsia="Calibri" w:hAnsi="Calibri Light" w:cs="Calibri Light"/>
                <w:sz w:val="22"/>
                <w:szCs w:val="22"/>
              </w:rPr>
              <w:t>2021 Title III, Part-F AANAPISI grant and Title II, Part A SIP grant to support Guided Pathways and AANAPISI initiatives to close the completion gap. (Core Theme 1.1, 1.2, 1.3; Core 2.1,2.2, 2.3, ,2.4; Core Theme 3.1, 3.2, 3.3; Core Theme 4.1)</w:t>
            </w:r>
          </w:p>
        </w:tc>
      </w:tr>
      <w:tr w:rsidR="00A145F7" w:rsidRPr="00005608" w14:paraId="33362C6D" w14:textId="77777777" w:rsidTr="00C22532">
        <w:tc>
          <w:tcPr>
            <w:tcW w:w="9468" w:type="dxa"/>
            <w:gridSpan w:val="2"/>
            <w:tcBorders>
              <w:top w:val="single" w:sz="8" w:space="0" w:color="7BA0CD"/>
              <w:left w:val="single" w:sz="8" w:space="0" w:color="7BA0CD"/>
              <w:bottom w:val="single" w:sz="8" w:space="0" w:color="7BA0CD"/>
              <w:right w:val="single" w:sz="8" w:space="0" w:color="7BA0CD"/>
            </w:tcBorders>
            <w:shd w:val="clear" w:color="auto" w:fill="608AC5"/>
          </w:tcPr>
          <w:p w14:paraId="174AFF70"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6C99E953" w14:textId="77777777" w:rsidTr="00C22532">
        <w:trPr>
          <w:trHeight w:val="421"/>
        </w:trPr>
        <w:tc>
          <w:tcPr>
            <w:tcW w:w="9468" w:type="dxa"/>
            <w:gridSpan w:val="2"/>
            <w:shd w:val="clear" w:color="auto" w:fill="auto"/>
          </w:tcPr>
          <w:p w14:paraId="4053290A" w14:textId="77777777" w:rsidR="00A145F7" w:rsidRDefault="00A145F7" w:rsidP="00B07AE8">
            <w:pPr>
              <w:tabs>
                <w:tab w:val="left" w:pos="8514"/>
              </w:tabs>
              <w:spacing w:before="60" w:after="60"/>
              <w:rPr>
                <w:rFonts w:ascii="Calibri" w:hAnsi="Calibri" w:cs="Calibri"/>
                <w:bCs/>
                <w:sz w:val="22"/>
                <w:szCs w:val="22"/>
              </w:rPr>
            </w:pPr>
          </w:p>
          <w:p w14:paraId="515A3D7F" w14:textId="77777777" w:rsidR="00F65E13" w:rsidRDefault="00C22532" w:rsidP="00B07AE8">
            <w:pPr>
              <w:tabs>
                <w:tab w:val="left" w:pos="8514"/>
              </w:tabs>
              <w:spacing w:before="60" w:after="60"/>
              <w:rPr>
                <w:rFonts w:ascii="Calibri" w:hAnsi="Calibri" w:cs="Calibri"/>
                <w:bCs/>
                <w:sz w:val="22"/>
                <w:szCs w:val="22"/>
              </w:rPr>
            </w:pPr>
            <w:r>
              <w:rPr>
                <w:rFonts w:ascii="Calibri" w:hAnsi="Calibri" w:cs="Calibri"/>
                <w:bCs/>
                <w:sz w:val="22"/>
                <w:szCs w:val="22"/>
              </w:rPr>
              <w:t>N/A</w:t>
            </w:r>
          </w:p>
          <w:p w14:paraId="0DF61B50" w14:textId="77777777" w:rsidR="00F65E13" w:rsidRDefault="00F65E13" w:rsidP="00B07AE8">
            <w:pPr>
              <w:tabs>
                <w:tab w:val="left" w:pos="8514"/>
              </w:tabs>
              <w:spacing w:before="60" w:after="60"/>
              <w:rPr>
                <w:rFonts w:ascii="Calibri" w:hAnsi="Calibri" w:cs="Calibri"/>
                <w:bCs/>
                <w:sz w:val="22"/>
                <w:szCs w:val="22"/>
              </w:rPr>
            </w:pPr>
          </w:p>
          <w:p w14:paraId="35828E4D" w14:textId="77777777" w:rsidR="00F65E13" w:rsidRPr="008A6DE4" w:rsidRDefault="00F65E13" w:rsidP="00B07AE8">
            <w:pPr>
              <w:tabs>
                <w:tab w:val="left" w:pos="8514"/>
              </w:tabs>
              <w:spacing w:before="60" w:after="60"/>
              <w:rPr>
                <w:rFonts w:ascii="Calibri" w:hAnsi="Calibri" w:cs="Calibri"/>
                <w:bCs/>
                <w:sz w:val="22"/>
                <w:szCs w:val="22"/>
              </w:rPr>
            </w:pPr>
          </w:p>
        </w:tc>
      </w:tr>
    </w:tbl>
    <w:p w14:paraId="67990EAF" w14:textId="77777777" w:rsidR="002B2B6F" w:rsidRDefault="002B2B6F" w:rsidP="00A7479D"/>
    <w:p w14:paraId="75D54163" w14:textId="77777777" w:rsidR="002B2B6F" w:rsidRDefault="002B2B6F"/>
    <w:sectPr w:rsidR="002B2B6F" w:rsidSect="00981742">
      <w:headerReference w:type="default" r:id="rId11"/>
      <w:footerReference w:type="default" r:id="rId12"/>
      <w:headerReference w:type="first" r:id="rId13"/>
      <w:footerReference w:type="first" r:id="rId14"/>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06885" w14:textId="77777777" w:rsidR="00EA121D" w:rsidRDefault="00EA121D" w:rsidP="005C51D3">
      <w:r>
        <w:separator/>
      </w:r>
    </w:p>
  </w:endnote>
  <w:endnote w:type="continuationSeparator" w:id="0">
    <w:p w14:paraId="71749F92" w14:textId="77777777" w:rsidR="00EA121D" w:rsidRDefault="00EA121D"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E06A" w14:textId="7E12384B" w:rsidR="007D499D" w:rsidRPr="005C51D3" w:rsidRDefault="007D499D" w:rsidP="007F7B85">
    <w:pPr>
      <w:pStyle w:val="Footer"/>
      <w:rPr>
        <w:rFonts w:ascii="Calibri Light" w:hAnsi="Calibri Light" w:cs="Calibri Light"/>
        <w:sz w:val="18"/>
        <w:szCs w:val="18"/>
      </w:rPr>
    </w:pPr>
    <w:r w:rsidRPr="00C22532">
      <w:rPr>
        <w:rFonts w:ascii="Calibri Light" w:hAnsi="Calibri Light" w:cs="Calibri Light"/>
        <w:sz w:val="10"/>
        <w:szCs w:val="18"/>
      </w:rPr>
      <w:fldChar w:fldCharType="begin"/>
    </w:r>
    <w:r w:rsidRPr="00C22532">
      <w:rPr>
        <w:rFonts w:ascii="Calibri Light" w:hAnsi="Calibri Light" w:cs="Calibri Light"/>
        <w:sz w:val="10"/>
        <w:szCs w:val="18"/>
      </w:rPr>
      <w:instrText xml:space="preserve"> FILENAME \p \* MERGEFORMAT </w:instrText>
    </w:r>
    <w:r w:rsidRPr="00C22532">
      <w:rPr>
        <w:rFonts w:ascii="Calibri Light" w:hAnsi="Calibri Light" w:cs="Calibri Light"/>
        <w:sz w:val="10"/>
        <w:szCs w:val="18"/>
      </w:rPr>
      <w:fldChar w:fldCharType="separate"/>
    </w:r>
    <w:r w:rsidRPr="00C22532">
      <w:rPr>
        <w:rFonts w:ascii="Calibri Light" w:hAnsi="Calibri Light" w:cs="Calibri Light"/>
        <w:noProof/>
        <w:sz w:val="10"/>
        <w:szCs w:val="18"/>
      </w:rPr>
      <w:t>https://highlinecc-my.sharepoint.com/personal/mlukens_highline_edu/Documents/Grant Mgmt/Data/2020 AANAPISI Institutional Effectiveness Reports.docx</w:t>
    </w:r>
    <w:r w:rsidRPr="00C22532">
      <w:rPr>
        <w:rFonts w:ascii="Calibri Light" w:hAnsi="Calibri Light" w:cs="Calibri Light"/>
        <w:sz w:val="10"/>
        <w:szCs w:val="18"/>
      </w:rPr>
      <w:fldChar w:fldCharType="end"/>
    </w:r>
    <w:r w:rsidRPr="00C22532">
      <w:rPr>
        <w:rFonts w:ascii="Calibri Light" w:hAnsi="Calibri Light" w:cs="Calibri Light"/>
        <w:sz w:val="10"/>
        <w:szCs w:val="18"/>
      </w:rPr>
      <w:t xml:space="preserve"> last updated: </w:t>
    </w:r>
    <w:r w:rsidRPr="00C22532">
      <w:rPr>
        <w:rFonts w:ascii="Calibri Light" w:hAnsi="Calibri Light" w:cs="Calibri Light"/>
        <w:sz w:val="10"/>
        <w:szCs w:val="18"/>
      </w:rPr>
      <w:fldChar w:fldCharType="begin"/>
    </w:r>
    <w:r w:rsidRPr="00C22532">
      <w:rPr>
        <w:rFonts w:ascii="Calibri Light" w:hAnsi="Calibri Light" w:cs="Calibri Light"/>
        <w:sz w:val="10"/>
        <w:szCs w:val="18"/>
      </w:rPr>
      <w:instrText xml:space="preserve"> SAVEDATE  \@ "M/d/yyyy h:mm am/pm"  \* MERGEFORMAT </w:instrText>
    </w:r>
    <w:r w:rsidRPr="00C22532">
      <w:rPr>
        <w:rFonts w:ascii="Calibri Light" w:hAnsi="Calibri Light" w:cs="Calibri Light"/>
        <w:sz w:val="10"/>
        <w:szCs w:val="18"/>
      </w:rPr>
      <w:fldChar w:fldCharType="separate"/>
    </w:r>
    <w:r w:rsidR="00E17F09">
      <w:rPr>
        <w:rFonts w:ascii="Calibri Light" w:hAnsi="Calibri Light" w:cs="Calibri Light"/>
        <w:noProof/>
        <w:sz w:val="10"/>
        <w:szCs w:val="18"/>
      </w:rPr>
      <w:t>7/29/2020 9:20 PM</w:t>
    </w:r>
    <w:r w:rsidRPr="00C22532">
      <w:rPr>
        <w:rFonts w:ascii="Calibri Light" w:hAnsi="Calibri Light" w:cs="Calibri Light"/>
        <w:sz w:val="10"/>
        <w:szCs w:val="18"/>
      </w:rPr>
      <w:fldChar w:fldCharType="end"/>
    </w:r>
    <w:r w:rsidRPr="00C22532">
      <w:rPr>
        <w:rFonts w:ascii="Calibri Light" w:hAnsi="Calibri Light" w:cs="Calibri Light"/>
        <w:sz w:val="22"/>
        <w:szCs w:val="18"/>
      </w:rPr>
      <w:tab/>
    </w:r>
    <w:r w:rsidRPr="00C22532">
      <w:rPr>
        <w:rFonts w:ascii="Calibri Light" w:hAnsi="Calibri Light" w:cs="Calibri Light"/>
        <w:sz w:val="22"/>
        <w:szCs w:val="18"/>
      </w:rPr>
      <w:fldChar w:fldCharType="begin"/>
    </w:r>
    <w:r w:rsidRPr="00C22532">
      <w:rPr>
        <w:rFonts w:ascii="Calibri Light" w:hAnsi="Calibri Light" w:cs="Calibri Light"/>
        <w:sz w:val="22"/>
        <w:szCs w:val="18"/>
      </w:rPr>
      <w:instrText xml:space="preserve"> PAGE   \* MERGEFORMAT </w:instrText>
    </w:r>
    <w:r w:rsidRPr="00C22532">
      <w:rPr>
        <w:rFonts w:ascii="Calibri Light" w:hAnsi="Calibri Light" w:cs="Calibri Light"/>
        <w:sz w:val="22"/>
        <w:szCs w:val="18"/>
      </w:rPr>
      <w:fldChar w:fldCharType="separate"/>
    </w:r>
    <w:r w:rsidR="00832486">
      <w:rPr>
        <w:rFonts w:ascii="Calibri Light" w:hAnsi="Calibri Light" w:cs="Calibri Light"/>
        <w:noProof/>
        <w:sz w:val="22"/>
        <w:szCs w:val="18"/>
      </w:rPr>
      <w:t>5</w:t>
    </w:r>
    <w:r w:rsidRPr="00C22532">
      <w:rPr>
        <w:rFonts w:ascii="Calibri Light" w:hAnsi="Calibri Light" w:cs="Calibri Light"/>
        <w:noProof/>
        <w:sz w:val="22"/>
        <w:szCs w:val="18"/>
      </w:rPr>
      <w:fldChar w:fldCharType="end"/>
    </w:r>
  </w:p>
  <w:p w14:paraId="77430784" w14:textId="77777777" w:rsidR="007D499D" w:rsidRDefault="007D4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61C7" w14:textId="77777777" w:rsidR="007D499D" w:rsidRPr="005C51D3" w:rsidRDefault="007D499D"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079FF" w14:textId="77777777" w:rsidR="00EA121D" w:rsidRDefault="00EA121D" w:rsidP="005C51D3">
      <w:r>
        <w:separator/>
      </w:r>
    </w:p>
  </w:footnote>
  <w:footnote w:type="continuationSeparator" w:id="0">
    <w:p w14:paraId="1BE2CF44" w14:textId="77777777" w:rsidR="00EA121D" w:rsidRDefault="00EA121D"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C919" w14:textId="77777777" w:rsidR="00C22532" w:rsidRPr="00C22532" w:rsidRDefault="00C22532" w:rsidP="00C22532">
    <w:pPr>
      <w:pStyle w:val="Header"/>
      <w:jc w:val="right"/>
      <w:rPr>
        <w:sz w:val="20"/>
      </w:rPr>
    </w:pPr>
    <w:r w:rsidRPr="00C22532">
      <w:rPr>
        <w:sz w:val="20"/>
      </w:rPr>
      <w:t xml:space="preserve">AANAPISI Institutional Effectiveness Report </w:t>
    </w:r>
  </w:p>
  <w:p w14:paraId="5376BC6B" w14:textId="77777777" w:rsidR="00C22532" w:rsidRPr="00C22532" w:rsidRDefault="00C22532" w:rsidP="00C22532">
    <w:pPr>
      <w:pStyle w:val="Header"/>
      <w:jc w:val="right"/>
      <w:rPr>
        <w:sz w:val="20"/>
      </w:rPr>
    </w:pPr>
    <w:r w:rsidRPr="00C22532">
      <w:rPr>
        <w:sz w:val="20"/>
      </w:rPr>
      <w:t>2020-2021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8626" w14:textId="77777777" w:rsidR="007D499D" w:rsidRDefault="007D499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639"/>
    <w:multiLevelType w:val="hybridMultilevel"/>
    <w:tmpl w:val="1790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030C0"/>
    <w:multiLevelType w:val="hybridMultilevel"/>
    <w:tmpl w:val="FC64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70785"/>
    <w:multiLevelType w:val="hybridMultilevel"/>
    <w:tmpl w:val="B6CE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E7D6A"/>
    <w:multiLevelType w:val="hybridMultilevel"/>
    <w:tmpl w:val="373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501FE"/>
    <w:multiLevelType w:val="hybridMultilevel"/>
    <w:tmpl w:val="3F1E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76D47051"/>
    <w:multiLevelType w:val="hybridMultilevel"/>
    <w:tmpl w:val="B6CE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9"/>
  </w:num>
  <w:num w:numId="5">
    <w:abstractNumId w:val="8"/>
  </w:num>
  <w:num w:numId="6">
    <w:abstractNumId w:val="2"/>
  </w:num>
  <w:num w:numId="7">
    <w:abstractNumId w:val="11"/>
  </w:num>
  <w:num w:numId="8">
    <w:abstractNumId w:val="4"/>
  </w:num>
  <w:num w:numId="9">
    <w:abstractNumId w:val="12"/>
  </w:num>
  <w:num w:numId="10">
    <w:abstractNumId w:val="3"/>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F7"/>
    <w:rsid w:val="00017161"/>
    <w:rsid w:val="00080693"/>
    <w:rsid w:val="00081CB8"/>
    <w:rsid w:val="000831C4"/>
    <w:rsid w:val="000924F9"/>
    <w:rsid w:val="000A0CBC"/>
    <w:rsid w:val="000E0B70"/>
    <w:rsid w:val="00101B34"/>
    <w:rsid w:val="001129F4"/>
    <w:rsid w:val="00126557"/>
    <w:rsid w:val="0012681B"/>
    <w:rsid w:val="00142ED1"/>
    <w:rsid w:val="00172987"/>
    <w:rsid w:val="00175CFE"/>
    <w:rsid w:val="001D3FC7"/>
    <w:rsid w:val="001E1676"/>
    <w:rsid w:val="001E3F16"/>
    <w:rsid w:val="00202EE9"/>
    <w:rsid w:val="00221206"/>
    <w:rsid w:val="00230CD1"/>
    <w:rsid w:val="00234960"/>
    <w:rsid w:val="00240801"/>
    <w:rsid w:val="00251D43"/>
    <w:rsid w:val="002B2B6F"/>
    <w:rsid w:val="002B31B4"/>
    <w:rsid w:val="002B5801"/>
    <w:rsid w:val="002C40B4"/>
    <w:rsid w:val="002C57CF"/>
    <w:rsid w:val="002D600F"/>
    <w:rsid w:val="002E20EF"/>
    <w:rsid w:val="00306778"/>
    <w:rsid w:val="00363560"/>
    <w:rsid w:val="003647AE"/>
    <w:rsid w:val="00381E93"/>
    <w:rsid w:val="003929D9"/>
    <w:rsid w:val="004041E9"/>
    <w:rsid w:val="00412187"/>
    <w:rsid w:val="004353BA"/>
    <w:rsid w:val="00441492"/>
    <w:rsid w:val="004555C2"/>
    <w:rsid w:val="004862D7"/>
    <w:rsid w:val="004A3379"/>
    <w:rsid w:val="004E520C"/>
    <w:rsid w:val="004F4F2D"/>
    <w:rsid w:val="00531DFB"/>
    <w:rsid w:val="00585786"/>
    <w:rsid w:val="00593D04"/>
    <w:rsid w:val="00597082"/>
    <w:rsid w:val="005B08D0"/>
    <w:rsid w:val="005C51D3"/>
    <w:rsid w:val="00603703"/>
    <w:rsid w:val="00625FCE"/>
    <w:rsid w:val="0063310F"/>
    <w:rsid w:val="0065043A"/>
    <w:rsid w:val="006554DB"/>
    <w:rsid w:val="0067085C"/>
    <w:rsid w:val="00682E0D"/>
    <w:rsid w:val="006B4841"/>
    <w:rsid w:val="00753314"/>
    <w:rsid w:val="00763A3B"/>
    <w:rsid w:val="00782B91"/>
    <w:rsid w:val="00783C51"/>
    <w:rsid w:val="0079014B"/>
    <w:rsid w:val="007A4BBD"/>
    <w:rsid w:val="007D3935"/>
    <w:rsid w:val="007D499D"/>
    <w:rsid w:val="007F75F7"/>
    <w:rsid w:val="007F7B85"/>
    <w:rsid w:val="00832486"/>
    <w:rsid w:val="00842CD9"/>
    <w:rsid w:val="00847274"/>
    <w:rsid w:val="00855DA2"/>
    <w:rsid w:val="00893D2E"/>
    <w:rsid w:val="008A5329"/>
    <w:rsid w:val="008A6DE4"/>
    <w:rsid w:val="008B6AD7"/>
    <w:rsid w:val="008D747B"/>
    <w:rsid w:val="00903ED3"/>
    <w:rsid w:val="009216F4"/>
    <w:rsid w:val="00942581"/>
    <w:rsid w:val="009561B2"/>
    <w:rsid w:val="00981742"/>
    <w:rsid w:val="00983C75"/>
    <w:rsid w:val="00996763"/>
    <w:rsid w:val="0099705F"/>
    <w:rsid w:val="009C36E8"/>
    <w:rsid w:val="009E266F"/>
    <w:rsid w:val="00A145F7"/>
    <w:rsid w:val="00A7479D"/>
    <w:rsid w:val="00A860D1"/>
    <w:rsid w:val="00AA4F5A"/>
    <w:rsid w:val="00B0657E"/>
    <w:rsid w:val="00B07AE8"/>
    <w:rsid w:val="00B61B3F"/>
    <w:rsid w:val="00B827F2"/>
    <w:rsid w:val="00B95077"/>
    <w:rsid w:val="00BB52B7"/>
    <w:rsid w:val="00BE78FC"/>
    <w:rsid w:val="00BE7E11"/>
    <w:rsid w:val="00C21A41"/>
    <w:rsid w:val="00C22532"/>
    <w:rsid w:val="00C27AFF"/>
    <w:rsid w:val="00C34295"/>
    <w:rsid w:val="00C83836"/>
    <w:rsid w:val="00CA3773"/>
    <w:rsid w:val="00CF24BF"/>
    <w:rsid w:val="00CF2846"/>
    <w:rsid w:val="00CF446B"/>
    <w:rsid w:val="00D0641F"/>
    <w:rsid w:val="00D443C8"/>
    <w:rsid w:val="00D648CE"/>
    <w:rsid w:val="00D84523"/>
    <w:rsid w:val="00DA3F0F"/>
    <w:rsid w:val="00DC21B0"/>
    <w:rsid w:val="00DC2B90"/>
    <w:rsid w:val="00DC727B"/>
    <w:rsid w:val="00DD7B5C"/>
    <w:rsid w:val="00DE4489"/>
    <w:rsid w:val="00E076EE"/>
    <w:rsid w:val="00E134E2"/>
    <w:rsid w:val="00E16932"/>
    <w:rsid w:val="00E17F09"/>
    <w:rsid w:val="00E2148C"/>
    <w:rsid w:val="00E24C23"/>
    <w:rsid w:val="00E323F1"/>
    <w:rsid w:val="00E57B08"/>
    <w:rsid w:val="00E86C1B"/>
    <w:rsid w:val="00EA121D"/>
    <w:rsid w:val="00EB1418"/>
    <w:rsid w:val="00ED5FF5"/>
    <w:rsid w:val="00EF5928"/>
    <w:rsid w:val="00EF5961"/>
    <w:rsid w:val="00F36C33"/>
    <w:rsid w:val="00F504E2"/>
    <w:rsid w:val="00F56DD1"/>
    <w:rsid w:val="00F63279"/>
    <w:rsid w:val="00F65E13"/>
    <w:rsid w:val="00FA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A249A"/>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table" w:styleId="TableGrid">
    <w:name w:val="Table Grid"/>
    <w:basedOn w:val="TableNormal"/>
    <w:uiPriority w:val="39"/>
    <w:rsid w:val="00CF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0FD1DAFADF746A1D5EF61DBD5F5CC" ma:contentTypeVersion="15" ma:contentTypeDescription="Create a new document." ma:contentTypeScope="" ma:versionID="0fb3bcb3beadc565a42e3e0210892e50">
  <xsd:schema xmlns:xsd="http://www.w3.org/2001/XMLSchema" xmlns:xs="http://www.w3.org/2001/XMLSchema" xmlns:p="http://schemas.microsoft.com/office/2006/metadata/properties" xmlns:ns1="http://schemas.microsoft.com/sharepoint/v3" xmlns:ns3="e424044c-863b-43e1-be44-af93a0a6c929" xmlns:ns4="f4dd16a5-4887-45d4-b26b-a637a64d8e73" targetNamespace="http://schemas.microsoft.com/office/2006/metadata/properties" ma:root="true" ma:fieldsID="6bbf24d965d50628ff3e1e0b213adff0" ns1:_="" ns3:_="" ns4:_="">
    <xsd:import namespace="http://schemas.microsoft.com/sharepoint/v3"/>
    <xsd:import namespace="e424044c-863b-43e1-be44-af93a0a6c929"/>
    <xsd:import namespace="f4dd16a5-4887-45d4-b26b-a637a64d8e7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4044c-863b-43e1-be44-af93a0a6c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d16a5-4887-45d4-b26b-a637a64d8e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81C0-8300-4575-A6DA-A9648ED04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4044c-863b-43e1-be44-af93a0a6c929"/>
    <ds:schemaRef ds:uri="f4dd16a5-4887-45d4-b26b-a637a64d8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E2735-B85F-4184-A2BB-BE7CA2305101}">
  <ds:schemaRefs>
    <ds:schemaRef ds:uri="http://schemas.microsoft.com/sharepoint/v3"/>
    <ds:schemaRef ds:uri="http://purl.org/dc/elements/1.1/"/>
    <ds:schemaRef ds:uri="http://purl.org/dc/terms/"/>
    <ds:schemaRef ds:uri="f4dd16a5-4887-45d4-b26b-a637a64d8e73"/>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424044c-863b-43e1-be44-af93a0a6c929"/>
    <ds:schemaRef ds:uri="http://schemas.microsoft.com/office/2006/metadata/properties"/>
  </ds:schemaRefs>
</ds:datastoreItem>
</file>

<file path=customXml/itemProps3.xml><?xml version="1.0" encoding="utf-8"?>
<ds:datastoreItem xmlns:ds="http://schemas.openxmlformats.org/officeDocument/2006/customXml" ds:itemID="{E0C3BF37-3120-45CC-912D-82FEC9268BD7}">
  <ds:schemaRefs>
    <ds:schemaRef ds:uri="http://schemas.microsoft.com/sharepoint/v3/contenttype/forms"/>
  </ds:schemaRefs>
</ds:datastoreItem>
</file>

<file path=customXml/itemProps4.xml><?xml version="1.0" encoding="utf-8"?>
<ds:datastoreItem xmlns:ds="http://schemas.openxmlformats.org/officeDocument/2006/customXml" ds:itemID="{1ECD506B-8550-4AFC-A36B-33BBEA46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Lukens, May</cp:lastModifiedBy>
  <cp:revision>2</cp:revision>
  <cp:lastPrinted>2017-08-22T23:01:00Z</cp:lastPrinted>
  <dcterms:created xsi:type="dcterms:W3CDTF">2020-07-31T00:22:00Z</dcterms:created>
  <dcterms:modified xsi:type="dcterms:W3CDTF">2020-07-31T00:22:00Z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0x01010069D0FD1DAFADF746A1D5EF61DBD5F5CC</vt:lpwstr>
  </property>
</Properties>
</file>