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D9E" w:rsidRDefault="00476504">
      <w:pPr>
        <w:spacing w:after="120"/>
        <w:rPr>
          <w:rFonts w:ascii="Open Sans" w:eastAsia="Open Sans" w:hAnsi="Open Sans" w:cs="Open Sans"/>
          <w:sz w:val="32"/>
          <w:szCs w:val="32"/>
        </w:rPr>
      </w:pPr>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691066">
            <w:pPr>
              <w:tabs>
                <w:tab w:val="left" w:pos="8514"/>
              </w:tabs>
              <w:spacing w:before="60" w:after="60"/>
              <w:rPr>
                <w:rFonts w:ascii="Calibri" w:eastAsia="Calibri" w:hAnsi="Calibri" w:cs="Calibri"/>
                <w:sz w:val="22"/>
                <w:szCs w:val="22"/>
              </w:rPr>
            </w:pPr>
            <w:r>
              <w:rPr>
                <w:rFonts w:ascii="Calibri" w:eastAsia="Calibri" w:hAnsi="Calibri" w:cs="Calibri"/>
                <w:sz w:val="22"/>
                <w:szCs w:val="22"/>
              </w:rPr>
              <w:t>Bookstore</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691066">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9, 2020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691066">
            <w:pPr>
              <w:tabs>
                <w:tab w:val="left" w:pos="8514"/>
              </w:tabs>
              <w:spacing w:before="60" w:after="60"/>
              <w:rPr>
                <w:rFonts w:ascii="Calibri" w:eastAsia="Calibri" w:hAnsi="Calibri" w:cs="Calibri"/>
                <w:sz w:val="22"/>
                <w:szCs w:val="22"/>
              </w:rPr>
            </w:pPr>
            <w:r>
              <w:rPr>
                <w:rFonts w:ascii="Calibri" w:eastAsia="Calibri" w:hAnsi="Calibri" w:cs="Calibri"/>
                <w:sz w:val="22"/>
                <w:szCs w:val="22"/>
              </w:rPr>
              <w:t>Flint Thornton</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Default="00691066">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sidRPr="00691066">
              <w:rPr>
                <w:rFonts w:ascii="Calibri" w:eastAsia="Calibri" w:hAnsi="Calibri" w:cs="Calibri"/>
                <w:color w:val="000000"/>
                <w:sz w:val="22"/>
                <w:szCs w:val="22"/>
              </w:rPr>
              <w:t xml:space="preserve">Highline College Bookstore, a self-sustaining enterprise serving our campus community, provides students, faculty, and staff with convenient and cost-effective access to course materials, academic supplies, and other quality merchandise.  </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403A51" w:rsidRDefault="00403A51" w:rsidP="00347189">
            <w:pPr>
              <w:pBdr>
                <w:top w:val="nil"/>
                <w:left w:val="nil"/>
                <w:bottom w:val="nil"/>
                <w:right w:val="nil"/>
                <w:between w:val="nil"/>
              </w:pBdr>
              <w:tabs>
                <w:tab w:val="left" w:pos="281"/>
              </w:tabs>
              <w:spacing w:after="60"/>
              <w:rPr>
                <w:rFonts w:ascii="Calibri" w:eastAsia="Calibri" w:hAnsi="Calibri" w:cs="Calibri"/>
                <w:sz w:val="22"/>
                <w:szCs w:val="22"/>
              </w:rPr>
            </w:pPr>
          </w:p>
          <w:p w:rsidR="00265B0A" w:rsidRDefault="00FF5D93" w:rsidP="00403A51">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The Bookstore was able to </w:t>
            </w:r>
            <w:r w:rsidR="00403A51">
              <w:rPr>
                <w:rFonts w:ascii="Calibri" w:eastAsia="Calibri" w:hAnsi="Calibri" w:cs="Calibri"/>
                <w:sz w:val="22"/>
                <w:szCs w:val="22"/>
              </w:rPr>
              <w:t>quickly transitioned to a fully online operation before the spring quarter</w:t>
            </w:r>
            <w:r>
              <w:rPr>
                <w:rFonts w:ascii="Calibri" w:eastAsia="Calibri" w:hAnsi="Calibri" w:cs="Calibri"/>
                <w:sz w:val="22"/>
                <w:szCs w:val="22"/>
              </w:rPr>
              <w:t xml:space="preserve"> and</w:t>
            </w:r>
            <w:r w:rsidR="00403A51">
              <w:rPr>
                <w:rFonts w:ascii="Calibri" w:eastAsia="Calibri" w:hAnsi="Calibri" w:cs="Calibri"/>
                <w:sz w:val="22"/>
                <w:szCs w:val="22"/>
              </w:rPr>
              <w:t xml:space="preserve"> deliver course materials to students in time for classes. </w:t>
            </w:r>
            <w:r w:rsidR="00403A51">
              <w:rPr>
                <w:rFonts w:ascii="Calibri" w:eastAsia="Calibri" w:hAnsi="Calibri" w:cs="Calibri"/>
                <w:color w:val="000000"/>
                <w:sz w:val="22"/>
                <w:szCs w:val="22"/>
              </w:rPr>
              <w:t>(Core Theme 3, Objective 3).</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210D9E" w:rsidRPr="00852472" w:rsidRDefault="00190478" w:rsidP="00190478">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Bookstore Full-time employees </w:t>
            </w:r>
            <w:r w:rsidR="00FF5D93">
              <w:rPr>
                <w:rFonts w:ascii="Calibri" w:eastAsia="Calibri" w:hAnsi="Calibri" w:cs="Calibri"/>
                <w:color w:val="000000"/>
                <w:sz w:val="22"/>
                <w:szCs w:val="22"/>
              </w:rPr>
              <w:t>have an average of over 6 years working in</w:t>
            </w:r>
            <w:r>
              <w:rPr>
                <w:rFonts w:ascii="Calibri" w:eastAsia="Calibri" w:hAnsi="Calibri" w:cs="Calibri"/>
                <w:color w:val="000000"/>
                <w:sz w:val="22"/>
                <w:szCs w:val="22"/>
              </w:rPr>
              <w:t xml:space="preserve"> Washington CTC bookstore</w:t>
            </w:r>
            <w:r w:rsidR="00FF5D93">
              <w:rPr>
                <w:rFonts w:ascii="Calibri" w:eastAsia="Calibri" w:hAnsi="Calibri" w:cs="Calibri"/>
                <w:color w:val="000000"/>
                <w:sz w:val="22"/>
                <w:szCs w:val="22"/>
              </w:rPr>
              <w:t>s</w:t>
            </w:r>
            <w:r w:rsidR="00DD0F4D">
              <w:rPr>
                <w:rFonts w:ascii="Calibri" w:eastAsia="Calibri" w:hAnsi="Calibri" w:cs="Calibri"/>
                <w:color w:val="000000"/>
                <w:sz w:val="22"/>
                <w:szCs w:val="22"/>
              </w:rPr>
              <w:t xml:space="preserve">. </w:t>
            </w:r>
            <w:r w:rsidR="00403A51">
              <w:rPr>
                <w:rFonts w:ascii="Calibri" w:eastAsia="Calibri" w:hAnsi="Calibri" w:cs="Calibri"/>
                <w:color w:val="000000"/>
                <w:sz w:val="22"/>
                <w:szCs w:val="22"/>
              </w:rPr>
              <w:t>(Core Theme 4, Objective 1).</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210D9E">
        <w:trPr>
          <w:trHeight w:val="142"/>
        </w:trPr>
        <w:tc>
          <w:tcPr>
            <w:tcW w:w="9450" w:type="dxa"/>
            <w:shd w:val="clear" w:color="auto" w:fill="auto"/>
          </w:tcPr>
          <w:p w:rsidR="00210D9E" w:rsidRDefault="00DD0F4D"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color w:val="000000"/>
                <w:sz w:val="22"/>
                <w:szCs w:val="22"/>
              </w:rPr>
              <w:t>The current pandemic</w:t>
            </w:r>
            <w:r w:rsidR="00FF5D93">
              <w:rPr>
                <w:rFonts w:ascii="Calibri" w:eastAsia="Calibri" w:hAnsi="Calibri" w:cs="Calibri"/>
                <w:color w:val="000000"/>
                <w:sz w:val="22"/>
                <w:szCs w:val="22"/>
              </w:rPr>
              <w:t>, and</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resulting  working</w:t>
            </w:r>
            <w:proofErr w:type="gramEnd"/>
            <w:r>
              <w:rPr>
                <w:rFonts w:ascii="Calibri" w:eastAsia="Calibri" w:hAnsi="Calibri" w:cs="Calibri"/>
                <w:color w:val="000000"/>
                <w:sz w:val="22"/>
                <w:szCs w:val="22"/>
              </w:rPr>
              <w:t xml:space="preserve"> and learning operations</w:t>
            </w:r>
            <w:r w:rsidR="00FF5D93">
              <w:rPr>
                <w:rFonts w:ascii="Calibri" w:eastAsia="Calibri" w:hAnsi="Calibri" w:cs="Calibri"/>
                <w:color w:val="000000"/>
                <w:sz w:val="22"/>
                <w:szCs w:val="22"/>
              </w:rPr>
              <w:t>,</w:t>
            </w:r>
            <w:r>
              <w:rPr>
                <w:rFonts w:ascii="Calibri" w:eastAsia="Calibri" w:hAnsi="Calibri" w:cs="Calibri"/>
                <w:color w:val="000000"/>
                <w:sz w:val="22"/>
                <w:szCs w:val="22"/>
              </w:rPr>
              <w:t xml:space="preserve"> is creating revenue challenges</w:t>
            </w:r>
            <w:r>
              <w:rPr>
                <w:rFonts w:ascii="Calibri" w:eastAsia="Calibri" w:hAnsi="Calibri" w:cs="Calibri"/>
                <w:sz w:val="22"/>
                <w:szCs w:val="22"/>
              </w:rPr>
              <w:t>.</w:t>
            </w:r>
          </w:p>
          <w:p w:rsidR="00DD0F4D" w:rsidRDefault="00DD0F4D" w:rsidP="00403A51">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Current Point-of-sale system is reaching end of life.</w:t>
            </w:r>
            <w:r w:rsidR="00FF5D93">
              <w:rPr>
                <w:rFonts w:ascii="Calibri" w:eastAsia="Calibri" w:hAnsi="Calibri" w:cs="Calibri"/>
                <w:sz w:val="22"/>
                <w:szCs w:val="22"/>
              </w:rPr>
              <w:t xml:space="preserve"> A</w:t>
            </w:r>
            <w:r>
              <w:rPr>
                <w:rFonts w:ascii="Calibri" w:eastAsia="Calibri" w:hAnsi="Calibri" w:cs="Calibri"/>
                <w:sz w:val="22"/>
                <w:szCs w:val="22"/>
              </w:rPr>
              <w:t xml:space="preserve"> </w:t>
            </w:r>
            <w:r w:rsidR="00FF5D93">
              <w:rPr>
                <w:rFonts w:ascii="Calibri" w:eastAsia="Calibri" w:hAnsi="Calibri" w:cs="Calibri"/>
                <w:sz w:val="22"/>
                <w:szCs w:val="22"/>
              </w:rPr>
              <w:t>t</w:t>
            </w:r>
            <w:r>
              <w:rPr>
                <w:rFonts w:ascii="Calibri" w:eastAsia="Calibri" w:hAnsi="Calibri" w:cs="Calibri"/>
                <w:sz w:val="22"/>
                <w:szCs w:val="22"/>
              </w:rPr>
              <w:t>imely evaluation, selection and transition to a new system con</w:t>
            </w:r>
            <w:r w:rsidR="00403A51">
              <w:rPr>
                <w:rFonts w:ascii="Calibri" w:eastAsia="Calibri" w:hAnsi="Calibri" w:cs="Calibri"/>
                <w:sz w:val="22"/>
                <w:szCs w:val="22"/>
              </w:rPr>
              <w:t>current</w:t>
            </w:r>
            <w:r>
              <w:rPr>
                <w:rFonts w:ascii="Calibri" w:eastAsia="Calibri" w:hAnsi="Calibri" w:cs="Calibri"/>
                <w:sz w:val="22"/>
                <w:szCs w:val="22"/>
              </w:rPr>
              <w:t xml:space="preserve"> with CTC implementation</w:t>
            </w:r>
            <w:r w:rsidR="00FF5D93">
              <w:rPr>
                <w:rFonts w:ascii="Calibri" w:eastAsia="Calibri" w:hAnsi="Calibri" w:cs="Calibri"/>
                <w:sz w:val="22"/>
                <w:szCs w:val="22"/>
              </w:rPr>
              <w:t xml:space="preserve"> will pose challenges. </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DD0F4D" w:rsidRPr="00EB3A54" w:rsidRDefault="00DD0F4D" w:rsidP="00EB3A54">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Seeking to improve revenue through enhanced product and service offerings through the store’s online sales front.</w:t>
            </w:r>
          </w:p>
        </w:tc>
      </w:tr>
    </w:tbl>
    <w:p w:rsidR="00210D9E" w:rsidRDefault="0047650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210D9E" w:rsidRDefault="00210D9E" w:rsidP="004E12A6">
            <w:pPr>
              <w:pStyle w:val="NormalWeb"/>
              <w:contextualSpacing/>
              <w:rPr>
                <w:rFonts w:ascii="Calibri" w:eastAsia="Calibri" w:hAnsi="Calibri" w:cs="Calibri"/>
                <w:sz w:val="22"/>
                <w:szCs w:val="22"/>
              </w:rPr>
            </w:pPr>
          </w:p>
        </w:tc>
      </w:tr>
      <w:tr w:rsidR="00210D9E">
        <w:tc>
          <w:tcPr>
            <w:tcW w:w="9450" w:type="dxa"/>
            <w:shd w:val="clear" w:color="auto" w:fill="auto"/>
          </w:tcPr>
          <w:p w:rsidR="00152C83" w:rsidRPr="009A4D30" w:rsidRDefault="00152C83" w:rsidP="00152C83">
            <w:pPr>
              <w:pStyle w:val="NormalWeb"/>
              <w:contextualSpacing/>
              <w:rPr>
                <w:rFonts w:asciiTheme="minorHAnsi" w:hAnsiTheme="minorHAnsi" w:cstheme="minorHAnsi"/>
                <w:color w:val="000000"/>
                <w:sz w:val="22"/>
                <w:szCs w:val="22"/>
              </w:rPr>
            </w:pPr>
            <w:r>
              <w:rPr>
                <w:rFonts w:ascii="Calibri" w:eastAsia="Calibri" w:hAnsi="Calibri" w:cs="Calibri"/>
                <w:sz w:val="22"/>
                <w:szCs w:val="22"/>
              </w:rPr>
              <w:t xml:space="preserve">1. </w:t>
            </w:r>
            <w:r>
              <w:rPr>
                <w:rFonts w:asciiTheme="minorHAnsi" w:hAnsiTheme="minorHAnsi" w:cstheme="minorHAnsi"/>
                <w:color w:val="000000"/>
                <w:sz w:val="22"/>
                <w:szCs w:val="22"/>
              </w:rPr>
              <w:t>Seek revenue opportunities while reducing expenses to meet budget requirements.</w:t>
            </w:r>
          </w:p>
          <w:p w:rsidR="00210D9E" w:rsidRDefault="00152C83" w:rsidP="00152C83">
            <w:pPr>
              <w:pStyle w:val="NormalWeb"/>
              <w:contextualSpacing/>
              <w:rPr>
                <w:rFonts w:asciiTheme="minorHAnsi" w:hAnsiTheme="minorHAnsi" w:cstheme="minorHAnsi"/>
                <w:color w:val="000000"/>
                <w:sz w:val="22"/>
                <w:szCs w:val="22"/>
              </w:rPr>
            </w:pPr>
            <w:r w:rsidRPr="009A4D30">
              <w:rPr>
                <w:rFonts w:asciiTheme="minorHAnsi" w:hAnsiTheme="minorHAnsi" w:cstheme="minorHAnsi"/>
                <w:color w:val="000000"/>
                <w:sz w:val="22"/>
                <w:szCs w:val="22"/>
              </w:rPr>
              <w:t xml:space="preserve">2. Maintain &amp; ensure the health and safety of students and employees </w:t>
            </w:r>
            <w:r>
              <w:rPr>
                <w:rFonts w:asciiTheme="minorHAnsi" w:hAnsiTheme="minorHAnsi" w:cstheme="minorHAnsi"/>
                <w:color w:val="000000"/>
                <w:sz w:val="22"/>
                <w:szCs w:val="22"/>
              </w:rPr>
              <w:t>while delivering course materials to students in a timely manner. Develop a plan for eventual re-opening of the physical store to students.</w:t>
            </w:r>
          </w:p>
          <w:p w:rsidR="00152C83" w:rsidRDefault="00152C83" w:rsidP="00152C83">
            <w:pPr>
              <w:pStyle w:val="NormalWeb"/>
              <w:contextualSpacing/>
              <w:rPr>
                <w:rFonts w:ascii="Calibri" w:eastAsia="Calibri" w:hAnsi="Calibri" w:cs="Calibri"/>
                <w:color w:val="000000"/>
                <w:sz w:val="22"/>
                <w:szCs w:val="22"/>
              </w:rPr>
            </w:pPr>
            <w:r>
              <w:rPr>
                <w:rFonts w:asciiTheme="minorHAnsi" w:hAnsiTheme="minorHAnsi" w:cstheme="minorHAnsi"/>
                <w:color w:val="000000"/>
                <w:sz w:val="22"/>
                <w:szCs w:val="22"/>
              </w:rPr>
              <w:t>3</w:t>
            </w:r>
            <w:r w:rsidRPr="009A4D30">
              <w:rPr>
                <w:rFonts w:asciiTheme="minorHAnsi" w:hAnsiTheme="minorHAnsi" w:cstheme="minorHAnsi"/>
                <w:color w:val="000000"/>
                <w:sz w:val="22"/>
                <w:szCs w:val="22"/>
              </w:rPr>
              <w:t xml:space="preserve">. Successful </w:t>
            </w:r>
            <w:r>
              <w:rPr>
                <w:rFonts w:asciiTheme="minorHAnsi" w:hAnsiTheme="minorHAnsi" w:cstheme="minorHAnsi"/>
                <w:color w:val="000000"/>
                <w:sz w:val="22"/>
                <w:szCs w:val="22"/>
              </w:rPr>
              <w:t>selection of and transition to a new point of sale system</w:t>
            </w:r>
            <w:r w:rsidR="00D94CBD">
              <w:rPr>
                <w:rFonts w:asciiTheme="minorHAnsi" w:hAnsiTheme="minorHAnsi" w:cstheme="minorHAnsi"/>
                <w:color w:val="000000"/>
                <w:sz w:val="22"/>
                <w:szCs w:val="22"/>
              </w:rPr>
              <w:t xml:space="preserve"> before fiscal year end</w:t>
            </w:r>
            <w:r>
              <w:rPr>
                <w:rFonts w:asciiTheme="minorHAnsi" w:hAnsiTheme="minorHAnsi" w:cstheme="minorHAnsi"/>
                <w:color w:val="000000"/>
                <w:sz w:val="22"/>
                <w:szCs w:val="22"/>
              </w:rPr>
              <w:t>.</w:t>
            </w:r>
          </w:p>
        </w:tc>
      </w:tr>
      <w:tr w:rsidR="00210D9E">
        <w:tc>
          <w:tcPr>
            <w:tcW w:w="9450" w:type="dxa"/>
            <w:shd w:val="clear" w:color="auto" w:fill="auto"/>
          </w:tcPr>
          <w:p w:rsidR="00210D9E" w:rsidRDefault="00210D9E">
            <w:pPr>
              <w:pBdr>
                <w:top w:val="nil"/>
                <w:left w:val="nil"/>
                <w:bottom w:val="nil"/>
                <w:right w:val="nil"/>
                <w:between w:val="nil"/>
              </w:pBdr>
              <w:spacing w:before="60" w:after="60"/>
              <w:ind w:left="551"/>
              <w:rPr>
                <w:rFonts w:ascii="Calibri" w:eastAsia="Calibri" w:hAnsi="Calibri" w:cs="Calibri"/>
                <w:color w:val="000000"/>
                <w:sz w:val="22"/>
                <w:szCs w:val="22"/>
              </w:rPr>
            </w:pPr>
          </w:p>
        </w:tc>
      </w:tr>
      <w:tr w:rsidR="00210D9E">
        <w:trPr>
          <w:trHeight w:val="5263"/>
        </w:trPr>
        <w:tc>
          <w:tcPr>
            <w:tcW w:w="9450" w:type="dxa"/>
            <w:shd w:val="clear" w:color="auto" w:fill="auto"/>
          </w:tcPr>
          <w:p w:rsidR="00210D9E" w:rsidRDefault="00210D9E">
            <w:pPr>
              <w:spacing w:before="120"/>
              <w:rPr>
                <w:rFonts w:ascii="Calibri" w:eastAsia="Calibri" w:hAnsi="Calibri" w:cs="Calibri"/>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p w:rsidR="00210D9E" w:rsidRDefault="00210D9E">
      <w:bookmarkStart w:id="0" w:name="_GoBack"/>
      <w:bookmarkEnd w:id="0"/>
    </w:p>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46" w:rsidRDefault="00301346" w:rsidP="00210D9E">
      <w:r>
        <w:separator/>
      </w:r>
    </w:p>
  </w:endnote>
  <w:endnote w:type="continuationSeparator" w:id="0">
    <w:p w:rsidR="00301346" w:rsidRDefault="00301346"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6680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46" w:rsidRDefault="00301346" w:rsidP="00210D9E">
      <w:r>
        <w:separator/>
      </w:r>
    </w:p>
  </w:footnote>
  <w:footnote w:type="continuationSeparator" w:id="0">
    <w:p w:rsidR="00301346" w:rsidRDefault="00301346"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73D5664"/>
    <w:multiLevelType w:val="hybridMultilevel"/>
    <w:tmpl w:val="E8A8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9E"/>
    <w:rsid w:val="000364AE"/>
    <w:rsid w:val="00044B3A"/>
    <w:rsid w:val="00107979"/>
    <w:rsid w:val="00152C83"/>
    <w:rsid w:val="00166CE9"/>
    <w:rsid w:val="00190478"/>
    <w:rsid w:val="00210D9E"/>
    <w:rsid w:val="00265B0A"/>
    <w:rsid w:val="002B5466"/>
    <w:rsid w:val="00301346"/>
    <w:rsid w:val="00347189"/>
    <w:rsid w:val="0035610F"/>
    <w:rsid w:val="00356590"/>
    <w:rsid w:val="00403A51"/>
    <w:rsid w:val="00476504"/>
    <w:rsid w:val="004811D0"/>
    <w:rsid w:val="004E04FE"/>
    <w:rsid w:val="004E12A6"/>
    <w:rsid w:val="0059439E"/>
    <w:rsid w:val="005E71F3"/>
    <w:rsid w:val="006103C0"/>
    <w:rsid w:val="006358F8"/>
    <w:rsid w:val="00664D9E"/>
    <w:rsid w:val="00691066"/>
    <w:rsid w:val="006C7590"/>
    <w:rsid w:val="00852472"/>
    <w:rsid w:val="00852725"/>
    <w:rsid w:val="00866804"/>
    <w:rsid w:val="0087354D"/>
    <w:rsid w:val="008A7E6A"/>
    <w:rsid w:val="00911EE5"/>
    <w:rsid w:val="009A4D30"/>
    <w:rsid w:val="00A83723"/>
    <w:rsid w:val="00AC7F5C"/>
    <w:rsid w:val="00AD6E66"/>
    <w:rsid w:val="00AE643D"/>
    <w:rsid w:val="00B51504"/>
    <w:rsid w:val="00C73520"/>
    <w:rsid w:val="00D94CBD"/>
    <w:rsid w:val="00DD0F4D"/>
    <w:rsid w:val="00E23B9B"/>
    <w:rsid w:val="00E608DA"/>
    <w:rsid w:val="00EB3A54"/>
    <w:rsid w:val="00F04E7B"/>
    <w:rsid w:val="00F17DD5"/>
    <w:rsid w:val="00F65587"/>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E600"/>
  <w15:docId w15:val="{30C84CC0-45A3-414A-8CC6-27FE35FC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A148F-D36D-4928-B15E-EA37AEEA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Karlberg</dc:creator>
  <cp:lastModifiedBy>McBreen, Heather</cp:lastModifiedBy>
  <cp:revision>4</cp:revision>
  <dcterms:created xsi:type="dcterms:W3CDTF">2020-09-09T20:59:00Z</dcterms:created>
  <dcterms:modified xsi:type="dcterms:W3CDTF">2020-09-10T16:48:00Z</dcterms:modified>
</cp:coreProperties>
</file>