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9E" w:rsidRDefault="00476504">
      <w:pPr>
        <w:spacing w:after="120"/>
        <w:rPr>
          <w:rFonts w:ascii="Open Sans" w:eastAsia="Open Sans" w:hAnsi="Open Sans" w:cs="Open Sans"/>
          <w:sz w:val="32"/>
          <w:szCs w:val="32"/>
        </w:rPr>
      </w:pPr>
      <w:r>
        <w:rPr>
          <w:rFonts w:ascii="Open Sans" w:eastAsia="Open Sans" w:hAnsi="Open Sans" w:cs="Open Sans"/>
          <w:sz w:val="32"/>
          <w:szCs w:val="32"/>
        </w:rPr>
        <w:t xml:space="preserve">Highline College Institutional Effectiveness Department Report </w:t>
      </w:r>
    </w:p>
    <w:p w:rsidR="00210D9E" w:rsidRDefault="00476504">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210D9E">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210D9E" w:rsidRDefault="00511552">
            <w:pPr>
              <w:tabs>
                <w:tab w:val="left" w:pos="8514"/>
              </w:tabs>
              <w:spacing w:before="60" w:after="60"/>
              <w:rPr>
                <w:rFonts w:ascii="Calibri" w:eastAsia="Calibri" w:hAnsi="Calibri" w:cs="Calibri"/>
                <w:sz w:val="22"/>
                <w:szCs w:val="22"/>
              </w:rPr>
            </w:pPr>
            <w:r>
              <w:rPr>
                <w:rFonts w:ascii="Calibri" w:eastAsia="Calibri" w:hAnsi="Calibri" w:cs="Calibri"/>
                <w:sz w:val="22"/>
                <w:szCs w:val="22"/>
              </w:rPr>
              <w:t>Budget and Grant Services</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210D9E" w:rsidRDefault="00BF652E">
            <w:pPr>
              <w:tabs>
                <w:tab w:val="left" w:pos="8514"/>
              </w:tabs>
              <w:spacing w:before="60" w:after="60"/>
              <w:rPr>
                <w:rFonts w:ascii="Calibri" w:eastAsia="Calibri" w:hAnsi="Calibri" w:cs="Calibri"/>
                <w:sz w:val="22"/>
                <w:szCs w:val="22"/>
              </w:rPr>
            </w:pPr>
            <w:r>
              <w:rPr>
                <w:rFonts w:ascii="Calibri" w:eastAsia="Calibri" w:hAnsi="Calibri" w:cs="Calibri"/>
                <w:sz w:val="22"/>
                <w:szCs w:val="22"/>
              </w:rPr>
              <w:t>September 10, 2020</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210D9E" w:rsidRDefault="00BF652E">
            <w:pPr>
              <w:tabs>
                <w:tab w:val="left" w:pos="8514"/>
              </w:tabs>
              <w:spacing w:before="60" w:after="60"/>
              <w:rPr>
                <w:rFonts w:ascii="Calibri" w:eastAsia="Calibri" w:hAnsi="Calibri" w:cs="Calibri"/>
                <w:sz w:val="22"/>
                <w:szCs w:val="22"/>
              </w:rPr>
            </w:pPr>
            <w:r>
              <w:rPr>
                <w:rFonts w:ascii="Calibri" w:eastAsia="Calibri" w:hAnsi="Calibri" w:cs="Calibri"/>
                <w:sz w:val="22"/>
                <w:szCs w:val="22"/>
              </w:rPr>
              <w:t>Lela Cross</w:t>
            </w:r>
          </w:p>
        </w:tc>
      </w:tr>
      <w:tr w:rsidR="00210D9E">
        <w:trPr>
          <w:trHeight w:val="367"/>
        </w:trPr>
        <w:tc>
          <w:tcPr>
            <w:tcW w:w="3510" w:type="dxa"/>
            <w:tcBorders>
              <w:bottom w:val="single" w:sz="8" w:space="0" w:color="7BA0CD"/>
              <w:right w:val="single" w:sz="8" w:space="0" w:color="7BA0CD"/>
            </w:tcBorders>
            <w:shd w:val="clear" w:color="auto" w:fill="auto"/>
          </w:tcPr>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210D9E" w:rsidRPr="00511552" w:rsidRDefault="00511552">
            <w:pPr>
              <w:pBdr>
                <w:top w:val="nil"/>
                <w:left w:val="nil"/>
                <w:bottom w:val="nil"/>
                <w:right w:val="nil"/>
                <w:between w:val="nil"/>
              </w:pBdr>
              <w:tabs>
                <w:tab w:val="left" w:pos="281"/>
              </w:tabs>
              <w:spacing w:before="60" w:after="60"/>
              <w:rPr>
                <w:rFonts w:asciiTheme="minorHAnsi" w:eastAsia="Calibri" w:hAnsiTheme="minorHAnsi" w:cstheme="minorHAnsi"/>
                <w:color w:val="000000"/>
                <w:sz w:val="22"/>
                <w:szCs w:val="22"/>
              </w:rPr>
            </w:pPr>
            <w:r w:rsidRPr="00511552">
              <w:rPr>
                <w:rFonts w:asciiTheme="minorHAnsi" w:hAnsiTheme="minorHAnsi" w:cstheme="minorHAnsi"/>
                <w:sz w:val="22"/>
              </w:rPr>
              <w:t>Budget and Grant Services supports the College’s mission by providing comprehensive planning, timely, relevant, and accurate budget and grant information to campus constituents, and sustains relationships within its communities through open, transparent, and collaborative partnerships.</w:t>
            </w:r>
          </w:p>
        </w:tc>
      </w:tr>
    </w:tbl>
    <w:p w:rsidR="00210D9E" w:rsidRDefault="00210D9E">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210D9E">
        <w:trPr>
          <w:trHeight w:val="421"/>
        </w:trPr>
        <w:tc>
          <w:tcPr>
            <w:tcW w:w="9450" w:type="dxa"/>
            <w:shd w:val="clear" w:color="auto" w:fill="CAD8EC"/>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210D9E">
        <w:trPr>
          <w:trHeight w:val="1375"/>
        </w:trPr>
        <w:tc>
          <w:tcPr>
            <w:tcW w:w="9450" w:type="dxa"/>
            <w:shd w:val="clear" w:color="auto" w:fill="auto"/>
          </w:tcPr>
          <w:p w:rsidR="00265B0A" w:rsidRDefault="00265B0A"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 </w:t>
            </w:r>
            <w:r w:rsidR="00270093">
              <w:rPr>
                <w:rFonts w:ascii="Calibri" w:eastAsia="Calibri" w:hAnsi="Calibri" w:cs="Calibri"/>
                <w:sz w:val="22"/>
                <w:szCs w:val="22"/>
              </w:rPr>
              <w:t xml:space="preserve">The department worked with campus staff and funders on more than 50 </w:t>
            </w:r>
            <w:r w:rsidR="00FD544E">
              <w:rPr>
                <w:rFonts w:ascii="Calibri" w:eastAsia="Calibri" w:hAnsi="Calibri" w:cs="Calibri"/>
                <w:sz w:val="22"/>
                <w:szCs w:val="22"/>
              </w:rPr>
              <w:t>grants and contracts in FY 20 resulting in the generation of appr</w:t>
            </w:r>
            <w:r w:rsidR="00A05D67">
              <w:rPr>
                <w:rFonts w:ascii="Calibri" w:eastAsia="Calibri" w:hAnsi="Calibri" w:cs="Calibri"/>
                <w:sz w:val="22"/>
                <w:szCs w:val="22"/>
              </w:rPr>
              <w:t>oximately $7 million of revenue (Core theme 4, objective 2)</w:t>
            </w:r>
          </w:p>
          <w:p w:rsidR="00FD544E" w:rsidRDefault="00FD544E"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Participation in the development of the Budget Planning Committee working with representatives from across campus. </w:t>
            </w:r>
            <w:r w:rsidR="00A05D67">
              <w:rPr>
                <w:rFonts w:ascii="Calibri" w:eastAsia="Calibri" w:hAnsi="Calibri" w:cs="Calibri"/>
                <w:sz w:val="22"/>
                <w:szCs w:val="22"/>
              </w:rPr>
              <w:t>(Core theme 3, objective 1)</w:t>
            </w:r>
          </w:p>
          <w:p w:rsidR="00874691" w:rsidRDefault="00874691" w:rsidP="00874691">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Worked on developing relationships with several departments across campus to serve as a resource during the grant writing and annual budget planning processes.</w:t>
            </w:r>
            <w:r w:rsidR="00A05D67">
              <w:rPr>
                <w:rFonts w:ascii="Calibri" w:eastAsia="Calibri" w:hAnsi="Calibri" w:cs="Calibri"/>
                <w:sz w:val="22"/>
                <w:szCs w:val="22"/>
              </w:rPr>
              <w:t xml:space="preserve"> (core theme 3, objective 3) </w:t>
            </w:r>
            <w:bookmarkStart w:id="0" w:name="_GoBack"/>
            <w:bookmarkEnd w:id="0"/>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t>Department strengths</w:t>
            </w:r>
            <w:r>
              <w:rPr>
                <w:rFonts w:ascii="Calibri" w:eastAsia="Calibri" w:hAnsi="Calibri" w:cs="Calibri"/>
                <w:i/>
                <w:sz w:val="20"/>
                <w:szCs w:val="20"/>
              </w:rPr>
              <w:t xml:space="preserve"> </w:t>
            </w:r>
          </w:p>
        </w:tc>
      </w:tr>
      <w:tr w:rsidR="00210D9E">
        <w:trPr>
          <w:trHeight w:val="358"/>
        </w:trPr>
        <w:tc>
          <w:tcPr>
            <w:tcW w:w="9450" w:type="dxa"/>
            <w:shd w:val="clear" w:color="auto" w:fill="auto"/>
          </w:tcPr>
          <w:p w:rsidR="00210D9E" w:rsidRDefault="00874691" w:rsidP="00874691">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 xml:space="preserve">Both the Director and the fiscal analyst II working in the Budget and Grant Services office each have over 10 years of working experience within the WA community college system.  </w:t>
            </w:r>
          </w:p>
          <w:p w:rsidR="00874691" w:rsidRPr="00852472" w:rsidRDefault="007A1D64" w:rsidP="00874691">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In addition to relevant work experience, both individuals in this department have an excellent working knowledge of other areas of the college. Thus making them able to help the campus community understand procedures in Purchasing, Financial Aid, Cashiering, etc.</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 xml:space="preserve">Department challenges </w:t>
            </w:r>
          </w:p>
        </w:tc>
      </w:tr>
      <w:tr w:rsidR="00210D9E">
        <w:trPr>
          <w:trHeight w:val="142"/>
        </w:trPr>
        <w:tc>
          <w:tcPr>
            <w:tcW w:w="9450" w:type="dxa"/>
            <w:shd w:val="clear" w:color="auto" w:fill="auto"/>
          </w:tcPr>
          <w:p w:rsidR="007A1D64" w:rsidRDefault="007A1D64" w:rsidP="007A1D64">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 xml:space="preserve">The current budget crisis, resulting from the pandemic, is and will continue to impact our ability to </w:t>
            </w:r>
            <w:r w:rsidR="008A48B0">
              <w:rPr>
                <w:rFonts w:ascii="Calibri" w:eastAsia="Calibri" w:hAnsi="Calibri" w:cs="Calibri"/>
                <w:color w:val="000000"/>
                <w:sz w:val="22"/>
                <w:szCs w:val="22"/>
              </w:rPr>
              <w:t>serve the college</w:t>
            </w:r>
            <w:r>
              <w:rPr>
                <w:rFonts w:ascii="Calibri" w:eastAsia="Calibri" w:hAnsi="Calibri" w:cs="Calibri"/>
                <w:color w:val="000000"/>
                <w:sz w:val="22"/>
                <w:szCs w:val="22"/>
              </w:rPr>
              <w:t>.</w:t>
            </w:r>
          </w:p>
          <w:p w:rsidR="007A1D64" w:rsidRPr="007A1D64" w:rsidRDefault="007A1D64" w:rsidP="007607EE">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sidRPr="007A1D64">
              <w:rPr>
                <w:rFonts w:ascii="Calibri" w:eastAsia="Calibri" w:hAnsi="Calibri" w:cs="Calibri"/>
                <w:color w:val="000000"/>
                <w:sz w:val="22"/>
                <w:szCs w:val="22"/>
              </w:rPr>
              <w:t xml:space="preserve">The pandemic </w:t>
            </w:r>
            <w:r>
              <w:rPr>
                <w:rFonts w:ascii="Calibri" w:eastAsia="Calibri" w:hAnsi="Calibri" w:cs="Calibri"/>
                <w:color w:val="000000"/>
                <w:sz w:val="22"/>
                <w:szCs w:val="22"/>
              </w:rPr>
              <w:t>ha</w:t>
            </w:r>
            <w:r w:rsidRPr="007A1D64">
              <w:rPr>
                <w:rFonts w:ascii="Calibri" w:eastAsia="Calibri" w:hAnsi="Calibri" w:cs="Calibri"/>
                <w:color w:val="000000"/>
                <w:sz w:val="22"/>
                <w:szCs w:val="22"/>
              </w:rPr>
              <w:t>s creat</w:t>
            </w:r>
            <w:r>
              <w:rPr>
                <w:rFonts w:ascii="Calibri" w:eastAsia="Calibri" w:hAnsi="Calibri" w:cs="Calibri"/>
                <w:color w:val="000000"/>
                <w:sz w:val="22"/>
                <w:szCs w:val="22"/>
              </w:rPr>
              <w:t>ed</w:t>
            </w:r>
            <w:r w:rsidRPr="007A1D64">
              <w:rPr>
                <w:rFonts w:ascii="Calibri" w:eastAsia="Calibri" w:hAnsi="Calibri" w:cs="Calibri"/>
                <w:color w:val="000000"/>
                <w:sz w:val="22"/>
                <w:szCs w:val="22"/>
              </w:rPr>
              <w:t xml:space="preserve"> challenges for employee</w:t>
            </w:r>
            <w:r>
              <w:rPr>
                <w:rFonts w:ascii="Calibri" w:eastAsia="Calibri" w:hAnsi="Calibri" w:cs="Calibri"/>
                <w:color w:val="000000"/>
                <w:sz w:val="22"/>
                <w:szCs w:val="22"/>
              </w:rPr>
              <w:t>s</w:t>
            </w:r>
            <w:r w:rsidRPr="007A1D64">
              <w:rPr>
                <w:rFonts w:ascii="Calibri" w:eastAsia="Calibri" w:hAnsi="Calibri" w:cs="Calibri"/>
                <w:color w:val="000000"/>
                <w:sz w:val="22"/>
                <w:szCs w:val="22"/>
              </w:rPr>
              <w:t xml:space="preserve"> working </w:t>
            </w:r>
            <w:r>
              <w:rPr>
                <w:rFonts w:ascii="Calibri" w:eastAsia="Calibri" w:hAnsi="Calibri" w:cs="Calibri"/>
                <w:color w:val="000000"/>
                <w:sz w:val="22"/>
                <w:szCs w:val="22"/>
              </w:rPr>
              <w:t xml:space="preserve">remotely and </w:t>
            </w:r>
            <w:r w:rsidRPr="007A1D64">
              <w:rPr>
                <w:rFonts w:ascii="Calibri" w:eastAsia="Calibri" w:hAnsi="Calibri" w:cs="Calibri"/>
                <w:color w:val="000000"/>
                <w:sz w:val="22"/>
                <w:szCs w:val="22"/>
              </w:rPr>
              <w:t>inter-departmental communication.</w:t>
            </w:r>
          </w:p>
          <w:p w:rsidR="00210D9E" w:rsidRPr="008A48B0" w:rsidRDefault="007A1D64" w:rsidP="008A48B0">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 xml:space="preserve">Timely implementation of </w:t>
            </w:r>
            <w:proofErr w:type="spellStart"/>
            <w:r>
              <w:rPr>
                <w:rFonts w:ascii="Calibri" w:eastAsia="Calibri" w:hAnsi="Calibri" w:cs="Calibri"/>
                <w:color w:val="000000"/>
                <w:sz w:val="22"/>
                <w:szCs w:val="22"/>
              </w:rPr>
              <w:t>ctcLink</w:t>
            </w:r>
            <w:proofErr w:type="spellEnd"/>
            <w:r>
              <w:rPr>
                <w:rFonts w:ascii="Calibri" w:eastAsia="Calibri" w:hAnsi="Calibri" w:cs="Calibri"/>
                <w:color w:val="000000"/>
                <w:sz w:val="22"/>
                <w:szCs w:val="22"/>
              </w:rPr>
              <w:t xml:space="preserve"> project.</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8A48B0">
        <w:trPr>
          <w:trHeight w:val="313"/>
        </w:trPr>
        <w:tc>
          <w:tcPr>
            <w:tcW w:w="9450" w:type="dxa"/>
            <w:shd w:val="clear" w:color="auto" w:fill="auto"/>
          </w:tcPr>
          <w:p w:rsidR="008A48B0" w:rsidRDefault="008A48B0" w:rsidP="008A48B0">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Communications with other departments as well as institution-wide.</w:t>
            </w:r>
          </w:p>
          <w:p w:rsidR="008A48B0" w:rsidRPr="00664D9E" w:rsidRDefault="008A48B0" w:rsidP="008A48B0">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Working relationships with other divisions, departments and programs improving collaboration when responding to fiscal and budget challenges.</w:t>
            </w:r>
          </w:p>
        </w:tc>
      </w:tr>
    </w:tbl>
    <w:p w:rsidR="00210D9E" w:rsidRDefault="00476504">
      <w:pPr>
        <w:rPr>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210D9E" w:rsidRDefault="00210D9E">
            <w:pPr>
              <w:tabs>
                <w:tab w:val="left" w:pos="8514"/>
              </w:tabs>
              <w:spacing w:before="60" w:after="60"/>
              <w:rPr>
                <w:rFonts w:ascii="Calibri" w:eastAsia="Calibri" w:hAnsi="Calibri" w:cs="Calibri"/>
                <w:i/>
                <w:color w:val="000000"/>
                <w:sz w:val="20"/>
                <w:szCs w:val="20"/>
              </w:rPr>
            </w:pPr>
          </w:p>
          <w:p w:rsidR="00210D9E" w:rsidRDefault="00476504">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210D9E">
        <w:tc>
          <w:tcPr>
            <w:tcW w:w="9450" w:type="dxa"/>
            <w:shd w:val="clear" w:color="auto" w:fill="auto"/>
          </w:tcPr>
          <w:p w:rsidR="008A48B0" w:rsidRDefault="008A48B0" w:rsidP="008A48B0">
            <w:pPr>
              <w:pStyle w:val="NormalWeb"/>
              <w:numPr>
                <w:ilvl w:val="0"/>
                <w:numId w:val="7"/>
              </w:numPr>
              <w:contextualSpacing/>
              <w:rPr>
                <w:rFonts w:asciiTheme="minorHAnsi" w:hAnsiTheme="minorHAnsi" w:cstheme="minorHAnsi"/>
                <w:color w:val="000000"/>
                <w:sz w:val="22"/>
                <w:szCs w:val="22"/>
              </w:rPr>
            </w:pPr>
            <w:r w:rsidRPr="008A48B0">
              <w:rPr>
                <w:rFonts w:asciiTheme="minorHAnsi" w:hAnsiTheme="minorHAnsi" w:cstheme="minorHAnsi"/>
                <w:color w:val="000000"/>
                <w:sz w:val="22"/>
                <w:szCs w:val="22"/>
              </w:rPr>
              <w:t>Develop, implement, and monitor a realistic budget to ensure long-term sustainability of the</w:t>
            </w:r>
            <w:r>
              <w:rPr>
                <w:rFonts w:asciiTheme="minorHAnsi" w:hAnsiTheme="minorHAnsi" w:cstheme="minorHAnsi"/>
                <w:color w:val="000000"/>
                <w:sz w:val="22"/>
                <w:szCs w:val="22"/>
              </w:rPr>
              <w:t xml:space="preserve"> </w:t>
            </w:r>
            <w:r w:rsidRPr="008A48B0">
              <w:rPr>
                <w:rFonts w:asciiTheme="minorHAnsi" w:hAnsiTheme="minorHAnsi" w:cstheme="minorHAnsi"/>
                <w:color w:val="000000"/>
                <w:sz w:val="22"/>
                <w:szCs w:val="22"/>
              </w:rPr>
              <w:t>college</w:t>
            </w:r>
            <w:r>
              <w:rPr>
                <w:rFonts w:asciiTheme="minorHAnsi" w:hAnsiTheme="minorHAnsi" w:cstheme="minorHAnsi"/>
                <w:color w:val="000000"/>
                <w:sz w:val="22"/>
                <w:szCs w:val="22"/>
              </w:rPr>
              <w:t xml:space="preserve">. </w:t>
            </w:r>
          </w:p>
          <w:p w:rsidR="008A48B0" w:rsidRDefault="008A48B0" w:rsidP="008A48B0">
            <w:pPr>
              <w:pStyle w:val="NormalWeb"/>
              <w:numPr>
                <w:ilvl w:val="0"/>
                <w:numId w:val="7"/>
              </w:numPr>
              <w:contextualSpacing/>
              <w:rPr>
                <w:rFonts w:asciiTheme="minorHAnsi" w:hAnsiTheme="minorHAnsi" w:cstheme="minorHAnsi"/>
                <w:color w:val="000000"/>
                <w:sz w:val="22"/>
                <w:szCs w:val="22"/>
              </w:rPr>
            </w:pPr>
            <w:r w:rsidRPr="009A4D30">
              <w:rPr>
                <w:rFonts w:asciiTheme="minorHAnsi" w:hAnsiTheme="minorHAnsi" w:cstheme="minorHAnsi"/>
                <w:color w:val="000000"/>
                <w:sz w:val="22"/>
                <w:szCs w:val="22"/>
              </w:rPr>
              <w:t xml:space="preserve">Successful </w:t>
            </w:r>
            <w:proofErr w:type="spellStart"/>
            <w:r w:rsidRPr="009A4D30">
              <w:rPr>
                <w:rFonts w:asciiTheme="minorHAnsi" w:hAnsiTheme="minorHAnsi" w:cstheme="minorHAnsi"/>
                <w:color w:val="000000"/>
                <w:sz w:val="22"/>
                <w:szCs w:val="22"/>
              </w:rPr>
              <w:t>ctcLink</w:t>
            </w:r>
            <w:proofErr w:type="spellEnd"/>
            <w:r w:rsidRPr="009A4D30">
              <w:rPr>
                <w:rFonts w:asciiTheme="minorHAnsi" w:hAnsiTheme="minorHAnsi" w:cstheme="minorHAnsi"/>
                <w:color w:val="000000"/>
                <w:sz w:val="22"/>
                <w:szCs w:val="22"/>
              </w:rPr>
              <w:t xml:space="preserve"> conversion for budget/finance</w:t>
            </w:r>
            <w:r>
              <w:rPr>
                <w:rFonts w:asciiTheme="minorHAnsi" w:hAnsiTheme="minorHAnsi" w:cstheme="minorHAnsi"/>
                <w:color w:val="000000"/>
                <w:sz w:val="22"/>
                <w:szCs w:val="22"/>
              </w:rPr>
              <w:t>.</w:t>
            </w:r>
          </w:p>
          <w:p w:rsidR="008A48B0" w:rsidRDefault="008A48B0" w:rsidP="008A48B0">
            <w:pPr>
              <w:pStyle w:val="NormalWeb"/>
              <w:numPr>
                <w:ilvl w:val="0"/>
                <w:numId w:val="7"/>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Continue to refine and document business processes as the college converts to </w:t>
            </w:r>
            <w:proofErr w:type="spellStart"/>
            <w:r>
              <w:rPr>
                <w:rFonts w:asciiTheme="minorHAnsi" w:hAnsiTheme="minorHAnsi" w:cstheme="minorHAnsi"/>
                <w:color w:val="000000"/>
                <w:sz w:val="22"/>
                <w:szCs w:val="22"/>
              </w:rPr>
              <w:t>ctcLink</w:t>
            </w:r>
            <w:proofErr w:type="spellEnd"/>
          </w:p>
          <w:p w:rsidR="00210D9E" w:rsidRDefault="00210D9E" w:rsidP="008A48B0">
            <w:pPr>
              <w:pStyle w:val="NormalWeb"/>
              <w:contextualSpacing/>
              <w:rPr>
                <w:rFonts w:ascii="Calibri" w:eastAsia="Calibri" w:hAnsi="Calibri" w:cs="Calibri"/>
                <w:sz w:val="22"/>
                <w:szCs w:val="22"/>
              </w:rPr>
            </w:pPr>
          </w:p>
        </w:tc>
      </w:tr>
      <w:tr w:rsidR="00210D9E">
        <w:tc>
          <w:tcPr>
            <w:tcW w:w="9450" w:type="dxa"/>
            <w:shd w:val="clear" w:color="auto" w:fill="auto"/>
          </w:tcPr>
          <w:p w:rsidR="00210D9E" w:rsidRDefault="00210D9E" w:rsidP="009A4D30">
            <w:pPr>
              <w:pBdr>
                <w:top w:val="nil"/>
                <w:left w:val="nil"/>
                <w:bottom w:val="nil"/>
                <w:right w:val="nil"/>
                <w:between w:val="nil"/>
              </w:pBdr>
              <w:spacing w:before="60" w:after="60"/>
              <w:rPr>
                <w:rFonts w:ascii="Calibri" w:eastAsia="Calibri" w:hAnsi="Calibri" w:cs="Calibri"/>
                <w:color w:val="000000"/>
                <w:sz w:val="22"/>
                <w:szCs w:val="22"/>
              </w:rPr>
            </w:pPr>
          </w:p>
        </w:tc>
      </w:tr>
      <w:tr w:rsidR="00210D9E">
        <w:tc>
          <w:tcPr>
            <w:tcW w:w="9450" w:type="dxa"/>
            <w:shd w:val="clear" w:color="auto" w:fill="auto"/>
          </w:tcPr>
          <w:p w:rsidR="00210D9E" w:rsidRDefault="00210D9E">
            <w:pPr>
              <w:pBdr>
                <w:top w:val="nil"/>
                <w:left w:val="nil"/>
                <w:bottom w:val="nil"/>
                <w:right w:val="nil"/>
                <w:between w:val="nil"/>
              </w:pBdr>
              <w:spacing w:before="60" w:after="60"/>
              <w:ind w:left="551"/>
              <w:rPr>
                <w:rFonts w:ascii="Calibri" w:eastAsia="Calibri" w:hAnsi="Calibri" w:cs="Calibri"/>
                <w:color w:val="000000"/>
                <w:sz w:val="22"/>
                <w:szCs w:val="22"/>
              </w:rPr>
            </w:pPr>
          </w:p>
        </w:tc>
      </w:tr>
      <w:tr w:rsidR="00210D9E">
        <w:trPr>
          <w:trHeight w:val="5263"/>
        </w:trPr>
        <w:tc>
          <w:tcPr>
            <w:tcW w:w="9450" w:type="dxa"/>
            <w:shd w:val="clear" w:color="auto" w:fill="auto"/>
          </w:tcPr>
          <w:p w:rsidR="00210D9E" w:rsidRDefault="00210D9E">
            <w:pPr>
              <w:spacing w:before="120"/>
              <w:rPr>
                <w:rFonts w:ascii="Calibri" w:eastAsia="Calibri" w:hAnsi="Calibri" w:cs="Calibri"/>
                <w:sz w:val="22"/>
                <w:szCs w:val="22"/>
              </w:rPr>
            </w:pPr>
          </w:p>
        </w:tc>
      </w:tr>
      <w:tr w:rsidR="00210D9E">
        <w:tc>
          <w:tcPr>
            <w:tcW w:w="9450" w:type="dxa"/>
            <w:shd w:val="clear" w:color="auto" w:fill="auto"/>
          </w:tcPr>
          <w:p w:rsidR="00210D9E" w:rsidRDefault="00210D9E">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210D9E">
        <w:tc>
          <w:tcPr>
            <w:tcW w:w="9450" w:type="dxa"/>
            <w:shd w:val="clear" w:color="auto" w:fill="auto"/>
          </w:tcPr>
          <w:p w:rsidR="00210D9E" w:rsidRDefault="00210D9E">
            <w:pPr>
              <w:spacing w:before="120"/>
              <w:rPr>
                <w:rFonts w:ascii="Calibri" w:eastAsia="Calibri" w:hAnsi="Calibri" w:cs="Calibri"/>
                <w:b/>
                <w:sz w:val="22"/>
                <w:szCs w:val="22"/>
              </w:rPr>
            </w:pPr>
          </w:p>
        </w:tc>
      </w:tr>
    </w:tbl>
    <w:p w:rsidR="00210D9E" w:rsidRDefault="00210D9E">
      <w:pPr>
        <w:tabs>
          <w:tab w:val="left" w:pos="8514"/>
        </w:tabs>
        <w:rPr>
          <w:rFonts w:ascii="Calibri" w:eastAsia="Calibri" w:hAnsi="Calibri" w:cs="Calibri"/>
          <w:sz w:val="6"/>
          <w:szCs w:val="6"/>
        </w:rPr>
      </w:pPr>
    </w:p>
    <w:tbl>
      <w:tblPr>
        <w:tblStyle w:val="a2"/>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210D9E">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210D9E">
        <w:trPr>
          <w:trHeight w:val="421"/>
        </w:trPr>
        <w:tc>
          <w:tcPr>
            <w:tcW w:w="9468" w:type="dxa"/>
            <w:shd w:val="clear" w:color="auto" w:fill="auto"/>
          </w:tcPr>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tc>
      </w:tr>
    </w:tbl>
    <w:p w:rsidR="00210D9E" w:rsidRDefault="00210D9E"/>
    <w:sectPr w:rsidR="00210D9E" w:rsidSect="00210D9E">
      <w:footerReference w:type="default" r:id="rId9"/>
      <w:headerReference w:type="first" r:id="rId10"/>
      <w:footerReference w:type="first" r:id="rId1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76" w:rsidRDefault="004B3D76" w:rsidP="00210D9E">
      <w:r>
        <w:separator/>
      </w:r>
    </w:p>
  </w:endnote>
  <w:endnote w:type="continuationSeparator" w:id="0">
    <w:p w:rsidR="004B3D76" w:rsidRDefault="004B3D76" w:rsidP="002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A8372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sidR="00476504">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A05D67">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210D9E" w:rsidRDefault="00210D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476504">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76" w:rsidRDefault="004B3D76" w:rsidP="00210D9E">
      <w:r>
        <w:separator/>
      </w:r>
    </w:p>
  </w:footnote>
  <w:footnote w:type="continuationSeparator" w:id="0">
    <w:p w:rsidR="004B3D76" w:rsidRDefault="004B3D76" w:rsidP="002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476504">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629"/>
    <w:multiLevelType w:val="hybridMultilevel"/>
    <w:tmpl w:val="5E9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105B"/>
    <w:multiLevelType w:val="multilevel"/>
    <w:tmpl w:val="420AF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CD2A5A"/>
    <w:multiLevelType w:val="multilevel"/>
    <w:tmpl w:val="F5B60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CD03D8"/>
    <w:multiLevelType w:val="multilevel"/>
    <w:tmpl w:val="5C906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4638CB"/>
    <w:multiLevelType w:val="hybridMultilevel"/>
    <w:tmpl w:val="0C268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C426AB"/>
    <w:multiLevelType w:val="multilevel"/>
    <w:tmpl w:val="44444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68F1109"/>
    <w:multiLevelType w:val="multilevel"/>
    <w:tmpl w:val="6492C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9E"/>
    <w:rsid w:val="000364AE"/>
    <w:rsid w:val="00044B3A"/>
    <w:rsid w:val="00166CE9"/>
    <w:rsid w:val="00210D9E"/>
    <w:rsid w:val="00265B0A"/>
    <w:rsid w:val="00270093"/>
    <w:rsid w:val="002B5466"/>
    <w:rsid w:val="0035610F"/>
    <w:rsid w:val="00356590"/>
    <w:rsid w:val="00476504"/>
    <w:rsid w:val="004811D0"/>
    <w:rsid w:val="004B3D76"/>
    <w:rsid w:val="004E04FE"/>
    <w:rsid w:val="004E12A6"/>
    <w:rsid w:val="00511552"/>
    <w:rsid w:val="0059439E"/>
    <w:rsid w:val="005E71F3"/>
    <w:rsid w:val="006103C0"/>
    <w:rsid w:val="006358F8"/>
    <w:rsid w:val="00664D9E"/>
    <w:rsid w:val="006C7590"/>
    <w:rsid w:val="007A1D64"/>
    <w:rsid w:val="00852472"/>
    <w:rsid w:val="00852725"/>
    <w:rsid w:val="0087354D"/>
    <w:rsid w:val="00874691"/>
    <w:rsid w:val="008A48B0"/>
    <w:rsid w:val="008A7E6A"/>
    <w:rsid w:val="00911EE5"/>
    <w:rsid w:val="009A4D30"/>
    <w:rsid w:val="00A05D67"/>
    <w:rsid w:val="00A83723"/>
    <w:rsid w:val="00AE643D"/>
    <w:rsid w:val="00B51504"/>
    <w:rsid w:val="00BF652E"/>
    <w:rsid w:val="00E23B9B"/>
    <w:rsid w:val="00E608DA"/>
    <w:rsid w:val="00F04E7B"/>
    <w:rsid w:val="00F17DD5"/>
    <w:rsid w:val="00F65587"/>
    <w:rsid w:val="00FD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B04A"/>
  <w15:docId w15:val="{94F7405B-A768-4B78-A655-287C18BC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F7"/>
  </w:style>
  <w:style w:type="paragraph" w:styleId="Heading1">
    <w:name w:val="heading 1"/>
    <w:basedOn w:val="Normal1"/>
    <w:next w:val="Normal1"/>
    <w:rsid w:val="00210D9E"/>
    <w:pPr>
      <w:keepNext/>
      <w:keepLines/>
      <w:spacing w:before="480" w:after="120"/>
      <w:outlineLvl w:val="0"/>
    </w:pPr>
    <w:rPr>
      <w:b/>
      <w:sz w:val="48"/>
      <w:szCs w:val="48"/>
    </w:rPr>
  </w:style>
  <w:style w:type="paragraph" w:styleId="Heading2">
    <w:name w:val="heading 2"/>
    <w:basedOn w:val="Normal1"/>
    <w:next w:val="Normal1"/>
    <w:rsid w:val="00210D9E"/>
    <w:pPr>
      <w:keepNext/>
      <w:keepLines/>
      <w:spacing w:before="360" w:after="80"/>
      <w:outlineLvl w:val="1"/>
    </w:pPr>
    <w:rPr>
      <w:b/>
      <w:sz w:val="36"/>
      <w:szCs w:val="36"/>
    </w:rPr>
  </w:style>
  <w:style w:type="paragraph" w:styleId="Heading3">
    <w:name w:val="heading 3"/>
    <w:basedOn w:val="Normal1"/>
    <w:next w:val="Normal1"/>
    <w:rsid w:val="00210D9E"/>
    <w:pPr>
      <w:keepNext/>
      <w:keepLines/>
      <w:spacing w:before="280" w:after="80"/>
      <w:outlineLvl w:val="2"/>
    </w:pPr>
    <w:rPr>
      <w:b/>
      <w:sz w:val="28"/>
      <w:szCs w:val="28"/>
    </w:rPr>
  </w:style>
  <w:style w:type="paragraph" w:styleId="Heading4">
    <w:name w:val="heading 4"/>
    <w:basedOn w:val="Normal1"/>
    <w:next w:val="Normal1"/>
    <w:rsid w:val="00210D9E"/>
    <w:pPr>
      <w:keepNext/>
      <w:keepLines/>
      <w:spacing w:before="240" w:after="40"/>
      <w:outlineLvl w:val="3"/>
    </w:pPr>
    <w:rPr>
      <w:b/>
    </w:rPr>
  </w:style>
  <w:style w:type="paragraph" w:styleId="Heading5">
    <w:name w:val="heading 5"/>
    <w:basedOn w:val="Normal1"/>
    <w:next w:val="Normal1"/>
    <w:rsid w:val="00210D9E"/>
    <w:pPr>
      <w:keepNext/>
      <w:keepLines/>
      <w:spacing w:before="220" w:after="40"/>
      <w:outlineLvl w:val="4"/>
    </w:pPr>
    <w:rPr>
      <w:b/>
      <w:sz w:val="22"/>
      <w:szCs w:val="22"/>
    </w:rPr>
  </w:style>
  <w:style w:type="paragraph" w:styleId="Heading6">
    <w:name w:val="heading 6"/>
    <w:basedOn w:val="Normal1"/>
    <w:next w:val="Normal1"/>
    <w:rsid w:val="00210D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D9E"/>
  </w:style>
  <w:style w:type="paragraph" w:styleId="Title">
    <w:name w:val="Title"/>
    <w:basedOn w:val="Normal1"/>
    <w:next w:val="Normal1"/>
    <w:rsid w:val="00210D9E"/>
    <w:pPr>
      <w:keepNext/>
      <w:keepLines/>
      <w:spacing w:before="480" w:after="120"/>
    </w:pPr>
    <w:rPr>
      <w:b/>
      <w:sz w:val="72"/>
      <w:szCs w:val="72"/>
    </w:rPr>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rsid w:val="00210D9E"/>
    <w:pPr>
      <w:keepNext/>
      <w:keepLines/>
      <w:spacing w:before="360" w:after="80"/>
    </w:pPr>
    <w:rPr>
      <w:rFonts w:ascii="Georgia" w:eastAsia="Georgia" w:hAnsi="Georgia" w:cs="Georgia"/>
      <w:i/>
      <w:color w:val="666666"/>
      <w:sz w:val="48"/>
      <w:szCs w:val="48"/>
    </w:rPr>
  </w:style>
  <w:style w:type="table" w:customStyle="1" w:styleId="a">
    <w:basedOn w:val="TableNormal"/>
    <w:rsid w:val="00210D9E"/>
    <w:tblPr>
      <w:tblStyleRowBandSize w:val="1"/>
      <w:tblStyleColBandSize w:val="1"/>
      <w:tblCellMar>
        <w:left w:w="115" w:type="dxa"/>
        <w:right w:w="115" w:type="dxa"/>
      </w:tblCellMar>
    </w:tblPr>
  </w:style>
  <w:style w:type="table" w:customStyle="1" w:styleId="a0">
    <w:basedOn w:val="TableNormal"/>
    <w:rsid w:val="00210D9E"/>
    <w:tblPr>
      <w:tblStyleRowBandSize w:val="1"/>
      <w:tblStyleColBandSize w:val="1"/>
      <w:tblCellMar>
        <w:left w:w="115" w:type="dxa"/>
        <w:right w:w="115" w:type="dxa"/>
      </w:tblCellMar>
    </w:tblPr>
  </w:style>
  <w:style w:type="table" w:customStyle="1" w:styleId="a1">
    <w:basedOn w:val="TableNormal"/>
    <w:rsid w:val="00210D9E"/>
    <w:tblPr>
      <w:tblStyleRowBandSize w:val="1"/>
      <w:tblStyleColBandSize w:val="1"/>
      <w:tblCellMar>
        <w:left w:w="115" w:type="dxa"/>
        <w:right w:w="115" w:type="dxa"/>
      </w:tblCellMar>
    </w:tblPr>
  </w:style>
  <w:style w:type="table" w:customStyle="1" w:styleId="a2">
    <w:basedOn w:val="TableNormal"/>
    <w:rsid w:val="00210D9E"/>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A4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233">
      <w:bodyDiv w:val="1"/>
      <w:marLeft w:val="0"/>
      <w:marRight w:val="0"/>
      <w:marTop w:val="0"/>
      <w:marBottom w:val="0"/>
      <w:divBdr>
        <w:top w:val="none" w:sz="0" w:space="0" w:color="auto"/>
        <w:left w:val="none" w:sz="0" w:space="0" w:color="auto"/>
        <w:bottom w:val="none" w:sz="0" w:space="0" w:color="auto"/>
        <w:right w:val="none" w:sz="0" w:space="0" w:color="auto"/>
      </w:divBdr>
    </w:div>
    <w:div w:id="1029910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Y++yf0pnJfNDtJ7NAnX2vl3g==">AMUW2mWaQ1Cy+rAX6FOommndxJPzY+Xbara1u3KqCE2SSKjpjMDnIs/3gHNzEn1QnYQrNqWfYLXUw3Gh8gE3Xeuw1KDKaPbt8WkVm+fWwqdaA+avUuoBSkoZuMs74P8EHGbkz4XHyJbz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C1E54C-B0DF-4ABE-A685-FE22F1FB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Karlberg</dc:creator>
  <cp:lastModifiedBy>McBreen, Heather</cp:lastModifiedBy>
  <cp:revision>2</cp:revision>
  <dcterms:created xsi:type="dcterms:W3CDTF">2020-09-10T22:06:00Z</dcterms:created>
  <dcterms:modified xsi:type="dcterms:W3CDTF">2020-09-10T22:06:00Z</dcterms:modified>
</cp:coreProperties>
</file>