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Open Sans" w:cs="Open Sans" w:eastAsia="Open Sans" w:hAnsi="Open Sans"/>
          <w:sz w:val="32"/>
          <w:szCs w:val="32"/>
        </w:rPr>
      </w:pPr>
      <w:bookmarkStart w:colFirst="0" w:colLast="0" w:name="_heading=h.30j0zll" w:id="0"/>
      <w:bookmarkEnd w:id="0"/>
      <w:r w:rsidDel="00000000" w:rsidR="00000000" w:rsidRPr="00000000">
        <w:rPr>
          <w:rFonts w:ascii="Open Sans" w:cs="Open Sans" w:eastAsia="Open Sans" w:hAnsi="Open Sans"/>
          <w:sz w:val="32"/>
          <w:szCs w:val="32"/>
          <w:rtl w:val="0"/>
        </w:rPr>
        <w:t xml:space="preserve">Highline College Institutional Effectiveness Department Report </w:t>
      </w:r>
    </w:p>
    <w:p w:rsidR="00000000" w:rsidDel="00000000" w:rsidP="00000000" w:rsidRDefault="00000000" w:rsidRPr="00000000" w14:paraId="00000002">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2020-2021</w:t>
      </w:r>
    </w:p>
    <w:tbl>
      <w:tblPr>
        <w:tblStyle w:val="Table1"/>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3510"/>
        <w:gridCol w:w="5940"/>
        <w:tblGridChange w:id="0">
          <w:tblGrid>
            <w:gridCol w:w="3510"/>
            <w:gridCol w:w="5940"/>
          </w:tblGrid>
        </w:tblGridChange>
      </w:tblGrid>
      <w:tr>
        <w:tc>
          <w:tcPr>
            <w:gridSpan w:val="2"/>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3">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Department information </w:t>
            </w:r>
            <w:r w:rsidDel="00000000" w:rsidR="00000000" w:rsidRPr="00000000">
              <w:rPr>
                <w:rtl w:val="0"/>
              </w:rPr>
            </w:r>
          </w:p>
        </w:tc>
      </w:tr>
      <w:tr>
        <w:trPr>
          <w:trHeight w:val="421" w:hRule="atLeast"/>
        </w:trPr>
        <w:tc>
          <w:tcPr>
            <w:tcBorders>
              <w:right w:color="7ba0cd" w:space="0" w:sz="8" w:val="single"/>
            </w:tcBorders>
            <w:shd w:fill="auto" w:val="clear"/>
          </w:tcPr>
          <w:p w:rsidR="00000000" w:rsidDel="00000000" w:rsidP="00000000" w:rsidRDefault="00000000" w:rsidRPr="00000000" w14:paraId="0000000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name</w:t>
            </w:r>
          </w:p>
        </w:tc>
        <w:tc>
          <w:tcPr>
            <w:tcBorders>
              <w:left w:color="7ba0cd" w:space="0" w:sz="8" w:val="single"/>
            </w:tcBorders>
            <w:shd w:fill="auto" w:val="clear"/>
          </w:tcPr>
          <w:p w:rsidR="00000000" w:rsidDel="00000000" w:rsidP="00000000" w:rsidRDefault="00000000" w:rsidRPr="00000000" w14:paraId="0000000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Academic Affairs/Faculty Administrative Assistants </w:t>
            </w:r>
          </w:p>
        </w:tc>
      </w:tr>
      <w:tr>
        <w:trPr>
          <w:trHeight w:val="421" w:hRule="atLeast"/>
        </w:trPr>
        <w:tc>
          <w:tcPr>
            <w:tcBorders>
              <w:right w:color="7ba0cd" w:space="0" w:sz="8" w:val="single"/>
            </w:tcBorders>
            <w:shd w:fill="auto" w:val="clear"/>
          </w:tcPr>
          <w:p w:rsidR="00000000" w:rsidDel="00000000" w:rsidP="00000000" w:rsidRDefault="00000000" w:rsidRPr="00000000" w14:paraId="00000007">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report was completed</w:t>
            </w:r>
          </w:p>
        </w:tc>
        <w:tc>
          <w:tcPr>
            <w:tcBorders>
              <w:left w:color="7ba0cd" w:space="0" w:sz="8" w:val="single"/>
            </w:tcBorders>
            <w:shd w:fill="auto" w:val="clear"/>
          </w:tcPr>
          <w:p w:rsidR="00000000" w:rsidDel="00000000" w:rsidP="00000000" w:rsidRDefault="00000000" w:rsidRPr="00000000" w14:paraId="0000000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08/12/2020</w:t>
            </w:r>
          </w:p>
        </w:tc>
      </w:tr>
      <w:tr>
        <w:trPr>
          <w:trHeight w:val="421" w:hRule="atLeast"/>
        </w:trPr>
        <w:tc>
          <w:tcPr>
            <w:tcBorders>
              <w:right w:color="7ba0cd" w:space="0" w:sz="8" w:val="single"/>
            </w:tcBorders>
            <w:shd w:fill="auto" w:val="clear"/>
          </w:tcPr>
          <w:p w:rsidR="00000000" w:rsidDel="00000000" w:rsidP="00000000" w:rsidRDefault="00000000" w:rsidRPr="00000000" w14:paraId="0000000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contributed to this report</w:t>
            </w:r>
          </w:p>
        </w:tc>
        <w:tc>
          <w:tcPr>
            <w:tcBorders>
              <w:left w:color="7ba0cd" w:space="0" w:sz="8" w:val="single"/>
            </w:tcBorders>
            <w:shd w:fill="auto" w:val="clear"/>
          </w:tcPr>
          <w:p w:rsidR="00000000" w:rsidDel="00000000" w:rsidP="00000000" w:rsidRDefault="00000000" w:rsidRPr="00000000" w14:paraId="0000000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Dianne Lonsbery, Tina Malnack, Linda Quick, Indira Hazbic,  Rayna Young, Patty Von Behren, Lauri Spivey, Chrystell Lemke</w:t>
            </w:r>
          </w:p>
        </w:tc>
      </w:tr>
      <w:tr>
        <w:trPr>
          <w:trHeight w:val="367" w:hRule="atLeast"/>
        </w:trPr>
        <w:tc>
          <w:tcPr>
            <w:tcBorders>
              <w:bottom w:color="7ba0cd" w:space="0" w:sz="8" w:val="single"/>
              <w:right w:color="7ba0cd" w:space="0" w:sz="8" w:val="single"/>
            </w:tcBorders>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281"/>
              </w:tabs>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Department Mission statement </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281"/>
              </w:tabs>
              <w:spacing w:after="60" w:before="60" w:lineRule="auto"/>
              <w:rPr>
                <w:rFonts w:ascii="Calibri" w:cs="Calibri" w:eastAsia="Calibri" w:hAnsi="Calibri"/>
                <w:color w:val="000000"/>
                <w:sz w:val="22"/>
                <w:szCs w:val="22"/>
              </w:rPr>
            </w:pPr>
            <w:bookmarkStart w:colFirst="0" w:colLast="0" w:name="_heading=h.gjdgxs" w:id="1"/>
            <w:bookmarkEnd w:id="1"/>
            <w:r w:rsidDel="00000000" w:rsidR="00000000" w:rsidRPr="00000000">
              <w:rPr>
                <w:rFonts w:ascii="Calibri" w:cs="Calibri" w:eastAsia="Calibri" w:hAnsi="Calibri"/>
                <w:color w:val="000000"/>
                <w:sz w:val="22"/>
                <w:szCs w:val="22"/>
                <w:rtl w:val="0"/>
              </w:rPr>
              <w:t xml:space="preserve">(if applicable)</w:t>
            </w:r>
          </w:p>
        </w:tc>
        <w:tc>
          <w:tcPr>
            <w:tcBorders>
              <w:left w:color="7ba0cd" w:space="0" w:sz="8" w:val="single"/>
            </w:tcBorders>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281"/>
              </w:tabs>
              <w:spacing w:after="60" w:before="6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0E">
      <w:pPr>
        <w:tabs>
          <w:tab w:val="left" w:pos="8514"/>
        </w:tabs>
        <w:rPr>
          <w:rFonts w:ascii="Calibri" w:cs="Calibri" w:eastAsia="Calibri" w:hAnsi="Calibri"/>
          <w:sz w:val="12"/>
          <w:szCs w:val="12"/>
        </w:rPr>
      </w:pPr>
      <w:r w:rsidDel="00000000" w:rsidR="00000000" w:rsidRPr="00000000">
        <w:rPr>
          <w:rtl w:val="0"/>
        </w:rPr>
      </w:r>
    </w:p>
    <w:tbl>
      <w:tblPr>
        <w:tblStyle w:val="Table2"/>
        <w:tblW w:w="9435.0" w:type="dxa"/>
        <w:jc w:val="left"/>
        <w:tblInd w:w="123.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35"/>
        <w:tblGridChange w:id="0">
          <w:tblGrid>
            <w:gridCol w:w="9435"/>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F">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Taking stock of 2019-2020 </w:t>
            </w:r>
          </w:p>
        </w:tc>
      </w:tr>
      <w:tr>
        <w:trPr>
          <w:trHeight w:val="421" w:hRule="atLeast"/>
        </w:trPr>
        <w:tc>
          <w:tcPr>
            <w:shd w:fill="cad8ec" w:val="clear"/>
          </w:tcPr>
          <w:p w:rsidR="00000000" w:rsidDel="00000000" w:rsidP="00000000" w:rsidRDefault="00000000" w:rsidRPr="00000000" w14:paraId="0000001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2-5 major accomplishments for 2019-2020. For each accomplishment, identify the related objective or indicator from the Mission Fulfillment Report (MFR), and describe the evidence you used assess this accomplishment</w:t>
            </w:r>
            <w:r w:rsidDel="00000000" w:rsidR="00000000" w:rsidRPr="00000000">
              <w:rPr>
                <w:rtl w:val="0"/>
              </w:rPr>
            </w:r>
          </w:p>
        </w:tc>
      </w:tr>
      <w:tr>
        <w:trPr>
          <w:trHeight w:val="1375" w:hRule="atLeast"/>
        </w:trPr>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281"/>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Core Theme 1</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281"/>
              </w:tabs>
              <w:spacing w:after="60" w:before="6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u w:val="single"/>
                <w:rtl w:val="0"/>
              </w:rPr>
              <w:t xml:space="preserve">Objective 1</w:t>
            </w:r>
            <w:r w:rsidDel="00000000" w:rsidR="00000000" w:rsidRPr="00000000">
              <w:rPr>
                <w:rFonts w:ascii="Calibri" w:cs="Calibri" w:eastAsia="Calibri" w:hAnsi="Calibri"/>
                <w:i w:val="1"/>
                <w:sz w:val="22"/>
                <w:szCs w:val="22"/>
                <w:rtl w:val="0"/>
              </w:rPr>
              <w:t xml:space="preserve">,Indicator 1.1:</w:t>
            </w:r>
          </w:p>
          <w:p w:rsidR="00000000" w:rsidDel="00000000" w:rsidP="00000000" w:rsidRDefault="00000000" w:rsidRPr="00000000" w14:paraId="00000013">
            <w:pPr>
              <w:numPr>
                <w:ilvl w:val="0"/>
                <w:numId w:val="3"/>
              </w:numPr>
              <w:tabs>
                <w:tab w:val="left" w:pos="281"/>
              </w:tabs>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Prior to working remotely faculty admins worked closely with students to support them with campus resources: counseling, advising, and financial assistance opportunities.</w:t>
            </w:r>
          </w:p>
          <w:p w:rsidR="00000000" w:rsidDel="00000000" w:rsidP="00000000" w:rsidRDefault="00000000" w:rsidRPr="00000000" w14:paraId="00000014">
            <w:pPr>
              <w:numPr>
                <w:ilvl w:val="0"/>
                <w:numId w:val="3"/>
              </w:numPr>
              <w:tabs>
                <w:tab w:val="left" w:pos="281"/>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Successfully moved to work remotely due to Covid-19 to support faculty, staff,  students, and community partnerships. </w:t>
            </w:r>
          </w:p>
          <w:p w:rsidR="00000000" w:rsidDel="00000000" w:rsidP="00000000" w:rsidRDefault="00000000" w:rsidRPr="00000000" w14:paraId="00000015">
            <w:pPr>
              <w:numPr>
                <w:ilvl w:val="0"/>
                <w:numId w:val="3"/>
              </w:numPr>
              <w:tabs>
                <w:tab w:val="left" w:pos="281"/>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Attended ctcLink workshops and training to prepare for transition from Legacy to ctcLink. </w:t>
            </w:r>
          </w:p>
          <w:p w:rsidR="00000000" w:rsidDel="00000000" w:rsidP="00000000" w:rsidRDefault="00000000" w:rsidRPr="00000000" w14:paraId="00000016">
            <w:pPr>
              <w:numPr>
                <w:ilvl w:val="0"/>
                <w:numId w:val="3"/>
              </w:numPr>
              <w:tabs>
                <w:tab w:val="left" w:pos="281"/>
              </w:tabs>
              <w:spacing w:after="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Re-Approval and accreditation processes for various Professional Technical programs.</w:t>
            </w:r>
          </w:p>
          <w:p w:rsidR="00000000" w:rsidDel="00000000" w:rsidP="00000000" w:rsidRDefault="00000000" w:rsidRPr="00000000" w14:paraId="00000017">
            <w:pPr>
              <w:tabs>
                <w:tab w:val="left" w:pos="281"/>
              </w:tabs>
              <w:spacing w:after="60" w:before="6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u w:val="single"/>
                <w:rtl w:val="0"/>
              </w:rPr>
              <w:t xml:space="preserve">Objective 1,</w:t>
            </w:r>
            <w:r w:rsidDel="00000000" w:rsidR="00000000" w:rsidRPr="00000000">
              <w:rPr>
                <w:rFonts w:ascii="Calibri" w:cs="Calibri" w:eastAsia="Calibri" w:hAnsi="Calibri"/>
                <w:i w:val="1"/>
                <w:sz w:val="22"/>
                <w:szCs w:val="22"/>
                <w:rtl w:val="0"/>
              </w:rPr>
              <w:t xml:space="preserve"> Indicator 1.2 &amp; </w:t>
            </w:r>
            <w:r w:rsidDel="00000000" w:rsidR="00000000" w:rsidRPr="00000000">
              <w:rPr>
                <w:rFonts w:ascii="Calibri" w:cs="Calibri" w:eastAsia="Calibri" w:hAnsi="Calibri"/>
                <w:i w:val="1"/>
                <w:sz w:val="22"/>
                <w:szCs w:val="22"/>
                <w:u w:val="single"/>
                <w:rtl w:val="0"/>
              </w:rPr>
              <w:t xml:space="preserve">Objective 2</w:t>
            </w:r>
            <w:r w:rsidDel="00000000" w:rsidR="00000000" w:rsidRPr="00000000">
              <w:rPr>
                <w:rFonts w:ascii="Calibri" w:cs="Calibri" w:eastAsia="Calibri" w:hAnsi="Calibri"/>
                <w:i w:val="1"/>
                <w:sz w:val="22"/>
                <w:szCs w:val="22"/>
                <w:rtl w:val="0"/>
              </w:rPr>
              <w:t xml:space="preserve">, Indicator 2.1:</w:t>
            </w:r>
          </w:p>
          <w:p w:rsidR="00000000" w:rsidDel="00000000" w:rsidP="00000000" w:rsidRDefault="00000000" w:rsidRPr="00000000" w14:paraId="00000018">
            <w:pPr>
              <w:numPr>
                <w:ilvl w:val="0"/>
                <w:numId w:val="1"/>
              </w:numPr>
              <w:tabs>
                <w:tab w:val="left" w:pos="281"/>
              </w:tabs>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Processed lab orders to ensure students had materials to complete prerequisites in allied science/heath fields.</w:t>
            </w:r>
          </w:p>
          <w:p w:rsidR="00000000" w:rsidDel="00000000" w:rsidP="00000000" w:rsidRDefault="00000000" w:rsidRPr="00000000" w14:paraId="00000019">
            <w:pPr>
              <w:numPr>
                <w:ilvl w:val="0"/>
                <w:numId w:val="1"/>
              </w:numPr>
              <w:tabs>
                <w:tab w:val="left" w:pos="281"/>
              </w:tabs>
              <w:spacing w:after="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Purchasing and assembling  supplies for student lab kits at home.</w:t>
            </w:r>
          </w:p>
          <w:p w:rsidR="00000000" w:rsidDel="00000000" w:rsidP="00000000" w:rsidRDefault="00000000" w:rsidRPr="00000000" w14:paraId="0000001A">
            <w:pPr>
              <w:tabs>
                <w:tab w:val="left" w:pos="281"/>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Core Theme 4</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u w:val="single"/>
                <w:rtl w:val="0"/>
              </w:rPr>
              <w:t xml:space="preserve">Objective 1</w:t>
            </w:r>
            <w:r w:rsidDel="00000000" w:rsidR="00000000" w:rsidRPr="00000000">
              <w:rPr>
                <w:rFonts w:ascii="Calibri" w:cs="Calibri" w:eastAsia="Calibri" w:hAnsi="Calibri"/>
                <w:i w:val="1"/>
                <w:sz w:val="22"/>
                <w:szCs w:val="22"/>
                <w:rtl w:val="0"/>
              </w:rPr>
              <w:t xml:space="preserve">, Indicator 1.2</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B">
            <w:pPr>
              <w:numPr>
                <w:ilvl w:val="0"/>
                <w:numId w:val="1"/>
              </w:numPr>
              <w:tabs>
                <w:tab w:val="left" w:pos="281"/>
              </w:tabs>
              <w:spacing w:after="60"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Campus moves required months of work to organize, prep, and relocate to new faculty buildings. </w:t>
            </w:r>
          </w:p>
        </w:tc>
      </w:tr>
      <w:tr>
        <w:tc>
          <w:tcPr>
            <w:shd w:fill="cad8ec" w:val="clear"/>
          </w:tcPr>
          <w:p w:rsidR="00000000" w:rsidDel="00000000" w:rsidP="00000000" w:rsidRDefault="00000000" w:rsidRPr="00000000" w14:paraId="0000001C">
            <w:pPr>
              <w:tabs>
                <w:tab w:val="left" w:pos="8514"/>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 strengths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r>
      <w:tr>
        <w:trPr>
          <w:trHeight w:val="358" w:hRule="atLeast"/>
        </w:trPr>
        <w:tc>
          <w:tcPr>
            <w:shd w:fill="auto" w:val="clear"/>
          </w:tcPr>
          <w:p w:rsidR="00000000" w:rsidDel="00000000" w:rsidP="00000000" w:rsidRDefault="00000000" w:rsidRPr="00000000" w14:paraId="0000001D">
            <w:pPr>
              <w:numPr>
                <w:ilvl w:val="0"/>
                <w:numId w:val="4"/>
              </w:numPr>
              <w:tabs>
                <w:tab w:val="left" w:pos="8514"/>
              </w:tabs>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Weekly meetings with Admin Assistants while remote working.</w:t>
            </w:r>
          </w:p>
          <w:p w:rsidR="00000000" w:rsidDel="00000000" w:rsidP="00000000" w:rsidRDefault="00000000" w:rsidRPr="00000000" w14:paraId="0000001E">
            <w:pPr>
              <w:numPr>
                <w:ilvl w:val="0"/>
                <w:numId w:val="4"/>
              </w:numPr>
              <w:tabs>
                <w:tab w:val="left" w:pos="8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Inclusion with Academic Affairs communication from Emily Lardner to faculty and Admin Assistants.  </w:t>
            </w:r>
          </w:p>
          <w:p w:rsidR="00000000" w:rsidDel="00000000" w:rsidP="00000000" w:rsidRDefault="00000000" w:rsidRPr="00000000" w14:paraId="0000001F">
            <w:pPr>
              <w:numPr>
                <w:ilvl w:val="0"/>
                <w:numId w:val="4"/>
              </w:numPr>
              <w:tabs>
                <w:tab w:val="left" w:pos="8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Collaboration with Admin Assistants to support each other with assigned tasks. </w:t>
            </w:r>
          </w:p>
          <w:p w:rsidR="00000000" w:rsidDel="00000000" w:rsidP="00000000" w:rsidRDefault="00000000" w:rsidRPr="00000000" w14:paraId="00000020">
            <w:pPr>
              <w:numPr>
                <w:ilvl w:val="0"/>
                <w:numId w:val="4"/>
              </w:numPr>
              <w:tabs>
                <w:tab w:val="left" w:pos="8514"/>
              </w:tabs>
              <w:spacing w:after="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Flexibility with transition to remote teaching and working.</w:t>
            </w:r>
          </w:p>
          <w:p w:rsidR="00000000" w:rsidDel="00000000" w:rsidP="00000000" w:rsidRDefault="00000000" w:rsidRPr="00000000" w14:paraId="00000021">
            <w:pPr>
              <w:tabs>
                <w:tab w:val="left" w:pos="8514"/>
              </w:tabs>
              <w:spacing w:after="60" w:before="60" w:lineRule="auto"/>
              <w:rPr>
                <w:rFonts w:ascii="Calibri" w:cs="Calibri" w:eastAsia="Calibri" w:hAnsi="Calibri"/>
                <w:i w:val="1"/>
                <w:sz w:val="22"/>
                <w:szCs w:val="22"/>
              </w:rPr>
            </w:pPr>
            <w:r w:rsidDel="00000000" w:rsidR="00000000" w:rsidRPr="00000000">
              <w:rPr>
                <w:rFonts w:ascii="Calibri" w:cs="Calibri" w:eastAsia="Calibri" w:hAnsi="Calibri"/>
                <w:b w:val="1"/>
                <w:sz w:val="22"/>
                <w:szCs w:val="22"/>
                <w:u w:val="single"/>
                <w:rtl w:val="0"/>
              </w:rPr>
              <w:t xml:space="preserve">Core Theme 4</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u w:val="single"/>
                <w:rtl w:val="0"/>
              </w:rPr>
              <w:t xml:space="preserve">Objective 2,</w:t>
            </w:r>
            <w:r w:rsidDel="00000000" w:rsidR="00000000" w:rsidRPr="00000000">
              <w:rPr>
                <w:rFonts w:ascii="Calibri" w:cs="Calibri" w:eastAsia="Calibri" w:hAnsi="Calibri"/>
                <w:i w:val="1"/>
                <w:sz w:val="22"/>
                <w:szCs w:val="22"/>
                <w:rtl w:val="0"/>
              </w:rPr>
              <w:t xml:space="preserve"> Indicator 2.3</w:t>
            </w:r>
          </w:p>
          <w:p w:rsidR="00000000" w:rsidDel="00000000" w:rsidP="00000000" w:rsidRDefault="00000000" w:rsidRPr="00000000" w14:paraId="00000022">
            <w:pPr>
              <w:numPr>
                <w:ilvl w:val="0"/>
                <w:numId w:val="4"/>
              </w:numPr>
              <w:tabs>
                <w:tab w:val="left" w:pos="8514"/>
              </w:tabs>
              <w:spacing w:after="60"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Collaboration with Marco Lopez-Torres for Professional Development tracking process.</w:t>
            </w:r>
          </w:p>
          <w:p w:rsidR="00000000" w:rsidDel="00000000" w:rsidP="00000000" w:rsidRDefault="00000000" w:rsidRPr="00000000" w14:paraId="00000023">
            <w:pPr>
              <w:tabs>
                <w:tab w:val="left" w:pos="8514"/>
              </w:tabs>
              <w:spacing w:after="60" w:before="60" w:lineRule="auto"/>
              <w:ind w:left="720" w:firstLine="0"/>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4">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Department challenges </w:t>
            </w:r>
            <w:r w:rsidDel="00000000" w:rsidR="00000000" w:rsidRPr="00000000">
              <w:rPr>
                <w:rtl w:val="0"/>
              </w:rPr>
            </w:r>
          </w:p>
        </w:tc>
      </w:tr>
      <w:tr>
        <w:trPr>
          <w:trHeight w:val="142" w:hRule="atLeast"/>
        </w:trPr>
        <w:tc>
          <w:tcPr>
            <w:shd w:fill="auto" w:val="clear"/>
          </w:tcPr>
          <w:p w:rsidR="00000000" w:rsidDel="00000000" w:rsidP="00000000" w:rsidRDefault="00000000" w:rsidRPr="00000000" w14:paraId="00000025">
            <w:pPr>
              <w:numPr>
                <w:ilvl w:val="0"/>
                <w:numId w:val="5"/>
              </w:numPr>
              <w:tabs>
                <w:tab w:val="left" w:pos="8514"/>
              </w:tabs>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More training with changing technology to support faculty, staff, and students. </w:t>
            </w:r>
          </w:p>
          <w:p w:rsidR="00000000" w:rsidDel="00000000" w:rsidP="00000000" w:rsidRDefault="00000000" w:rsidRPr="00000000" w14:paraId="00000026">
            <w:pPr>
              <w:numPr>
                <w:ilvl w:val="0"/>
                <w:numId w:val="5"/>
              </w:numPr>
              <w:tabs>
                <w:tab w:val="left" w:pos="8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Length of time to complete tasks has increased exponentially.</w:t>
            </w:r>
          </w:p>
          <w:p w:rsidR="00000000" w:rsidDel="00000000" w:rsidP="00000000" w:rsidRDefault="00000000" w:rsidRPr="00000000" w14:paraId="00000027">
            <w:pPr>
              <w:numPr>
                <w:ilvl w:val="0"/>
                <w:numId w:val="5"/>
              </w:numPr>
              <w:tabs>
                <w:tab w:val="left" w:pos="8514"/>
              </w:tabs>
              <w:spacing w:after="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Working on a new schedule to establish a balance between work time/home time while remote working.</w:t>
            </w:r>
          </w:p>
          <w:p w:rsidR="00000000" w:rsidDel="00000000" w:rsidP="00000000" w:rsidRDefault="00000000" w:rsidRPr="00000000" w14:paraId="00000028">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Areas you would like to improve</w:t>
            </w: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2A">
            <w:pPr>
              <w:numPr>
                <w:ilvl w:val="0"/>
                <w:numId w:val="2"/>
              </w:numPr>
              <w:tabs>
                <w:tab w:val="left" w:pos="8514"/>
              </w:tabs>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 and transparency across campus in various processes while in a remote working environment.</w:t>
            </w:r>
          </w:p>
          <w:p w:rsidR="00000000" w:rsidDel="00000000" w:rsidP="00000000" w:rsidRDefault="00000000" w:rsidRPr="00000000" w14:paraId="0000002B">
            <w:pPr>
              <w:numPr>
                <w:ilvl w:val="0"/>
                <w:numId w:val="2"/>
              </w:numPr>
              <w:tabs>
                <w:tab w:val="left" w:pos="8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Being included in campus-wide discussions. </w:t>
            </w:r>
          </w:p>
          <w:p w:rsidR="00000000" w:rsidDel="00000000" w:rsidP="00000000" w:rsidRDefault="00000000" w:rsidRPr="00000000" w14:paraId="0000002C">
            <w:pPr>
              <w:tabs>
                <w:tab w:val="left" w:pos="8514"/>
              </w:tabs>
              <w:spacing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tabs>
                <w:tab w:val="left" w:pos="8514"/>
              </w:tabs>
              <w:spacing w:before="60" w:lineRule="auto"/>
              <w:rPr>
                <w:rFonts w:ascii="Calibri" w:cs="Calibri" w:eastAsia="Calibri" w:hAnsi="Calibri"/>
                <w:sz w:val="22"/>
                <w:szCs w:val="22"/>
              </w:rPr>
            </w:pP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2E">
            <w:pPr>
              <w:tabs>
                <w:tab w:val="left" w:pos="8514"/>
              </w:tabs>
              <w:spacing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F">
      <w:pPr>
        <w:rPr>
          <w:sz w:val="4"/>
          <w:szCs w:val="4"/>
        </w:rPr>
      </w:pPr>
      <w:r w:rsidDel="00000000" w:rsidR="00000000" w:rsidRPr="00000000">
        <w:br w:type="page"/>
      </w:r>
      <w:r w:rsidDel="00000000" w:rsidR="00000000" w:rsidRPr="00000000">
        <w:rPr>
          <w:rtl w:val="0"/>
        </w:rPr>
      </w:r>
    </w:p>
    <w:tbl>
      <w:tblPr>
        <w:tblStyle w:val="Table3"/>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2e74b5" w:val="clear"/>
          </w:tcPr>
          <w:p w:rsidR="00000000" w:rsidDel="00000000" w:rsidP="00000000" w:rsidRDefault="00000000" w:rsidRPr="00000000" w14:paraId="00000030">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2020 - 2021 work plan development </w:t>
            </w:r>
          </w:p>
        </w:tc>
      </w:tr>
      <w:tr>
        <w:tc>
          <w:tcPr>
            <w:shd w:fill="cad8ec" w:val="clear"/>
          </w:tcPr>
          <w:p w:rsidR="00000000" w:rsidDel="00000000" w:rsidP="00000000" w:rsidRDefault="00000000" w:rsidRPr="00000000" w14:paraId="00000031">
            <w:pPr>
              <w:tabs>
                <w:tab w:val="left" w:pos="8514"/>
              </w:tabs>
              <w:spacing w:after="60" w:before="60" w:lineRule="auto"/>
              <w:rPr>
                <w:rFonts w:ascii="Calibri" w:cs="Calibri" w:eastAsia="Calibri" w:hAnsi="Calibri"/>
                <w:i w:val="1"/>
                <w:color w:val="000000"/>
                <w:sz w:val="22"/>
                <w:szCs w:val="22"/>
              </w:rPr>
            </w:pP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color w:val="000000"/>
                <w:sz w:val="20"/>
                <w:szCs w:val="20"/>
                <w:rtl w:val="0"/>
              </w:rPr>
              <w:t xml:space="preserve">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sidDel="00000000" w:rsidR="00000000" w:rsidRPr="00000000">
              <w:rPr>
                <w:rFonts w:ascii="Calibri" w:cs="Calibri" w:eastAsia="Calibri" w:hAnsi="Calibri"/>
                <w:i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Not every objective or indicator will have an associated goal from your department!)</w:t>
            </w:r>
            <w:r w:rsidDel="00000000" w:rsidR="00000000" w:rsidRPr="00000000">
              <w:rPr>
                <w:rtl w:val="0"/>
              </w:rPr>
            </w:r>
          </w:p>
        </w:tc>
      </w:tr>
      <w:tr>
        <w:tc>
          <w:tcPr>
            <w:shd w:fill="auto" w:val="clear"/>
          </w:tcPr>
          <w:p w:rsidR="00000000" w:rsidDel="00000000" w:rsidP="00000000" w:rsidRDefault="00000000" w:rsidRPr="00000000" w14:paraId="00000032">
            <w:pPr>
              <w:tabs>
                <w:tab w:val="left" w:pos="8514"/>
              </w:tabs>
              <w:spacing w:before="60" w:lineRule="auto"/>
              <w:rPr>
                <w:rFonts w:ascii="Calibri" w:cs="Calibri" w:eastAsia="Calibri" w:hAnsi="Calibri"/>
                <w:i w:val="1"/>
                <w:sz w:val="22"/>
                <w:szCs w:val="22"/>
              </w:rPr>
            </w:pPr>
            <w:r w:rsidDel="00000000" w:rsidR="00000000" w:rsidRPr="00000000">
              <w:rPr>
                <w:rFonts w:ascii="Calibri" w:cs="Calibri" w:eastAsia="Calibri" w:hAnsi="Calibri"/>
                <w:b w:val="1"/>
                <w:sz w:val="22"/>
                <w:szCs w:val="22"/>
                <w:u w:val="single"/>
                <w:rtl w:val="0"/>
              </w:rPr>
              <w:t xml:space="preserve">Core Theme 2</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u w:val="single"/>
                <w:rtl w:val="0"/>
              </w:rPr>
              <w:t xml:space="preserve">Objective 2,</w:t>
            </w:r>
            <w:r w:rsidDel="00000000" w:rsidR="00000000" w:rsidRPr="00000000">
              <w:rPr>
                <w:rFonts w:ascii="Calibri" w:cs="Calibri" w:eastAsia="Calibri" w:hAnsi="Calibri"/>
                <w:i w:val="1"/>
                <w:sz w:val="22"/>
                <w:szCs w:val="22"/>
                <w:rtl w:val="0"/>
              </w:rPr>
              <w:t xml:space="preserve"> Indicator 2.1</w:t>
            </w:r>
          </w:p>
          <w:p w:rsidR="00000000" w:rsidDel="00000000" w:rsidP="00000000" w:rsidRDefault="00000000" w:rsidRPr="00000000" w14:paraId="00000033">
            <w:pPr>
              <w:numPr>
                <w:ilvl w:val="0"/>
                <w:numId w:val="2"/>
              </w:numPr>
              <w:tabs>
                <w:tab w:val="left" w:pos="8514"/>
              </w:tabs>
              <w:spacing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Stay connected to learn and continue to improve educational equity and diversity.</w:t>
            </w:r>
          </w:p>
          <w:p w:rsidR="00000000" w:rsidDel="00000000" w:rsidP="00000000" w:rsidRDefault="00000000" w:rsidRPr="00000000" w14:paraId="00000034">
            <w:pPr>
              <w:tabs>
                <w:tab w:val="left" w:pos="8514"/>
              </w:tabs>
              <w:spacing w:before="60" w:lineRule="auto"/>
              <w:rPr>
                <w:rFonts w:ascii="Calibri" w:cs="Calibri" w:eastAsia="Calibri" w:hAnsi="Calibri"/>
                <w:i w:val="1"/>
                <w:sz w:val="22"/>
                <w:szCs w:val="22"/>
              </w:rPr>
            </w:pPr>
            <w:r w:rsidDel="00000000" w:rsidR="00000000" w:rsidRPr="00000000">
              <w:rPr>
                <w:rFonts w:ascii="Calibri" w:cs="Calibri" w:eastAsia="Calibri" w:hAnsi="Calibri"/>
                <w:b w:val="1"/>
                <w:sz w:val="22"/>
                <w:szCs w:val="22"/>
                <w:u w:val="single"/>
                <w:rtl w:val="0"/>
              </w:rPr>
              <w:t xml:space="preserve">Core Theme 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u w:val="single"/>
                <w:rtl w:val="0"/>
              </w:rPr>
              <w:t xml:space="preserve">Objective 2,</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Indicator 2.2</w:t>
            </w:r>
          </w:p>
          <w:p w:rsidR="00000000" w:rsidDel="00000000" w:rsidP="00000000" w:rsidRDefault="00000000" w:rsidRPr="00000000" w14:paraId="00000035">
            <w:pPr>
              <w:numPr>
                <w:ilvl w:val="0"/>
                <w:numId w:val="2"/>
              </w:numPr>
              <w:tabs>
                <w:tab w:val="left" w:pos="281"/>
              </w:tabs>
              <w:spacing w:after="60" w:before="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Encourage instructors to put Admin contact information in their syllabus while working remotely.</w:t>
            </w:r>
          </w:p>
          <w:p w:rsidR="00000000" w:rsidDel="00000000" w:rsidP="00000000" w:rsidRDefault="00000000" w:rsidRPr="00000000" w14:paraId="00000036">
            <w:pPr>
              <w:spacing w:before="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60" w:before="60" w:lineRule="auto"/>
              <w:ind w:left="551" w:firstLine="0"/>
              <w:rPr>
                <w:rFonts w:ascii="Calibri" w:cs="Calibri" w:eastAsia="Calibri" w:hAnsi="Calibri"/>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60" w:before="60" w:lineRule="auto"/>
              <w:ind w:left="551"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60" w:before="60" w:lineRule="auto"/>
              <w:ind w:left="551" w:firstLine="0"/>
              <w:rPr>
                <w:rFonts w:ascii="Calibri" w:cs="Calibri" w:eastAsia="Calibri" w:hAnsi="Calibri"/>
                <w:color w:val="000000"/>
                <w:sz w:val="22"/>
                <w:szCs w:val="22"/>
              </w:rPr>
            </w:pPr>
            <w:r w:rsidDel="00000000" w:rsidR="00000000" w:rsidRPr="00000000">
              <w:rPr>
                <w:rtl w:val="0"/>
              </w:rPr>
            </w:r>
          </w:p>
        </w:tc>
      </w:tr>
      <w:tr>
        <w:trPr>
          <w:trHeight w:val="5263" w:hRule="atLeast"/>
        </w:trPr>
        <w:tc>
          <w:tcPr>
            <w:shd w:fill="auto" w:val="clear"/>
          </w:tcPr>
          <w:p w:rsidR="00000000" w:rsidDel="00000000" w:rsidP="00000000" w:rsidRDefault="00000000" w:rsidRPr="00000000" w14:paraId="0000003B">
            <w:pPr>
              <w:spacing w:before="120" w:lineRule="auto"/>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60" w:before="60" w:lineRule="auto"/>
              <w:ind w:left="0" w:firstLine="0"/>
              <w:rPr>
                <w:rFonts w:ascii="Calibri" w:cs="Calibri" w:eastAsia="Calibri" w:hAnsi="Calibri"/>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3D">
            <w:pPr>
              <w:spacing w:before="12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E">
      <w:pPr>
        <w:tabs>
          <w:tab w:val="left" w:pos="8514"/>
        </w:tabs>
        <w:rPr>
          <w:rFonts w:ascii="Calibri" w:cs="Calibri" w:eastAsia="Calibri" w:hAnsi="Calibri"/>
          <w:sz w:val="6"/>
          <w:szCs w:val="6"/>
        </w:rPr>
      </w:pPr>
      <w:r w:rsidDel="00000000" w:rsidR="00000000" w:rsidRPr="00000000">
        <w:rPr>
          <w:rtl w:val="0"/>
        </w:rPr>
      </w:r>
    </w:p>
    <w:tbl>
      <w:tblPr>
        <w:tblStyle w:val="Table4"/>
        <w:tblW w:w="9468.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68"/>
        <w:tblGridChange w:id="0">
          <w:tblGrid>
            <w:gridCol w:w="9468"/>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3F">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Suggestions to improve this report or process</w:t>
            </w:r>
            <w:r w:rsidDel="00000000" w:rsidR="00000000" w:rsidRPr="00000000">
              <w:rPr>
                <w:rtl w:val="0"/>
              </w:rPr>
            </w:r>
          </w:p>
        </w:tc>
      </w:tr>
      <w:tr>
        <w:trPr>
          <w:trHeight w:val="421" w:hRule="atLeast"/>
        </w:trPr>
        <w:tc>
          <w:tcPr>
            <w:shd w:fill="auto" w:val="clear"/>
          </w:tcPr>
          <w:p w:rsidR="00000000" w:rsidDel="00000000" w:rsidP="00000000" w:rsidRDefault="00000000" w:rsidRPr="00000000" w14:paraId="00000040">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tabs>
                <w:tab w:val="left" w:pos="8514"/>
              </w:tabs>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sectPr>
      <w:headerReference r:id="rId7" w:type="first"/>
      <w:footerReference r:id="rId8" w:type="default"/>
      <w:footerReference r:id="rId9" w:type="first"/>
      <w:pgSz w:h="15840" w:w="12240"/>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7.06.2020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45F7"/>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Footnote" w:customStyle="1">
    <w:name w:val="Footnote"/>
    <w:basedOn w:val="Normal"/>
    <w:link w:val="FootnoteChar"/>
    <w:qFormat w:val="1"/>
    <w:rsid w:val="002B31B4"/>
    <w:rPr>
      <w:rFonts w:ascii="Calibri Light" w:hAnsi="Calibri Light"/>
      <w:vertAlign w:val="superscript"/>
    </w:rPr>
  </w:style>
  <w:style w:type="character" w:styleId="FootnoteChar" w:customStyle="1">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val="1"/>
    <w:rsid w:val="00A145F7"/>
    <w:pPr>
      <w:ind w:left="720"/>
      <w:contextualSpacing w:val="1"/>
    </w:pPr>
  </w:style>
  <w:style w:type="paragraph" w:styleId="BalloonText">
    <w:name w:val="Balloon Text"/>
    <w:basedOn w:val="Normal"/>
    <w:link w:val="BalloonTextChar"/>
    <w:uiPriority w:val="99"/>
    <w:semiHidden w:val="1"/>
    <w:unhideWhenUsed w:val="1"/>
    <w:rsid w:val="00DE4489"/>
    <w:rPr>
      <w:rFonts w:ascii="Segoe UI" w:cs="Segoe UI" w:hAnsi="Segoe UI"/>
      <w:sz w:val="18"/>
      <w:szCs w:val="18"/>
    </w:rPr>
  </w:style>
  <w:style w:type="character" w:styleId="BalloonTextChar" w:customStyle="1">
    <w:name w:val="Balloon Text Char"/>
    <w:link w:val="BalloonText"/>
    <w:uiPriority w:val="99"/>
    <w:semiHidden w:val="1"/>
    <w:rsid w:val="00DE4489"/>
    <w:rPr>
      <w:rFonts w:ascii="Segoe UI" w:cs="Segoe UI" w:eastAsia="Times New Roman" w:hAnsi="Segoe UI"/>
      <w:sz w:val="18"/>
      <w:szCs w:val="18"/>
    </w:rPr>
  </w:style>
  <w:style w:type="paragraph" w:styleId="Header">
    <w:name w:val="header"/>
    <w:basedOn w:val="Normal"/>
    <w:link w:val="HeaderChar"/>
    <w:uiPriority w:val="99"/>
    <w:unhideWhenUsed w:val="1"/>
    <w:rsid w:val="005C51D3"/>
    <w:pPr>
      <w:tabs>
        <w:tab w:val="center" w:pos="4680"/>
        <w:tab w:val="right" w:pos="9360"/>
      </w:tabs>
    </w:pPr>
  </w:style>
  <w:style w:type="character" w:styleId="HeaderChar" w:customStyle="1">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val="1"/>
    <w:rsid w:val="005C51D3"/>
    <w:pPr>
      <w:tabs>
        <w:tab w:val="center" w:pos="4680"/>
        <w:tab w:val="right" w:pos="9360"/>
      </w:tabs>
    </w:pPr>
  </w:style>
  <w:style w:type="character" w:styleId="FooterChar" w:customStyle="1">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OI9lElzYuDfgAs3ZwfKIoDWQ==">AMUW2mW3XqD90MRdzrPGF9/WyubJoHSN/roSwJmy4RA3nrGuaCwZeVlzc8BYW0JZMZ67O/t3pvNrSJGpeVszLd+EXrqNwmaGA+seD8gVCMT2XDvcamjGiOf0iVV8SCjHimZL7c2T1Glk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2020-08-13T16:35:00Z</dcterms:created>
  <dc:creator>Anne Marie Karlberg</dc:creator>
</cp:coreProperties>
</file>