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D9E" w:rsidRDefault="00476504">
      <w:pPr>
        <w:spacing w:after="120"/>
        <w:rPr>
          <w:rFonts w:ascii="Open Sans" w:eastAsia="Open Sans" w:hAnsi="Open Sans" w:cs="Open Sans"/>
          <w:sz w:val="32"/>
          <w:szCs w:val="32"/>
        </w:rPr>
      </w:pPr>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C8735D" w:rsidP="00C8735D">
            <w:pPr>
              <w:tabs>
                <w:tab w:val="left" w:pos="8514"/>
              </w:tabs>
              <w:spacing w:before="60" w:after="60"/>
              <w:rPr>
                <w:rFonts w:ascii="Calibri" w:eastAsia="Calibri" w:hAnsi="Calibri" w:cs="Calibri"/>
                <w:sz w:val="22"/>
                <w:szCs w:val="22"/>
              </w:rPr>
            </w:pPr>
            <w:r>
              <w:rPr>
                <w:rFonts w:ascii="Calibri" w:eastAsia="Calibri" w:hAnsi="Calibri" w:cs="Calibri"/>
                <w:sz w:val="22"/>
                <w:szCs w:val="22"/>
              </w:rPr>
              <w:t>Financial</w:t>
            </w:r>
            <w:r w:rsidR="00B51504">
              <w:rPr>
                <w:rFonts w:ascii="Calibri" w:eastAsia="Calibri" w:hAnsi="Calibri" w:cs="Calibri"/>
                <w:sz w:val="22"/>
                <w:szCs w:val="22"/>
              </w:rPr>
              <w:t xml:space="preserve"> Services</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C8735D">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9</w:t>
            </w:r>
            <w:r w:rsidR="00B51504">
              <w:rPr>
                <w:rFonts w:ascii="Calibri" w:eastAsia="Calibri" w:hAnsi="Calibri" w:cs="Calibri"/>
                <w:sz w:val="22"/>
                <w:szCs w:val="22"/>
              </w:rPr>
              <w:t>, 2020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C8735D">
            <w:pPr>
              <w:tabs>
                <w:tab w:val="left" w:pos="8514"/>
              </w:tabs>
              <w:spacing w:before="60" w:after="60"/>
              <w:rPr>
                <w:rFonts w:ascii="Calibri" w:eastAsia="Calibri" w:hAnsi="Calibri" w:cs="Calibri"/>
                <w:sz w:val="22"/>
                <w:szCs w:val="22"/>
              </w:rPr>
            </w:pPr>
            <w:r>
              <w:rPr>
                <w:rFonts w:ascii="Calibri" w:eastAsia="Calibri" w:hAnsi="Calibri" w:cs="Calibri"/>
                <w:sz w:val="22"/>
                <w:szCs w:val="22"/>
              </w:rPr>
              <w:t>Cathy Cartwright, Edith Dillard, Dianna Thiele and Chau Trac</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Pr="00C8735D" w:rsidRDefault="00C8735D" w:rsidP="00C8735D">
            <w:pPr>
              <w:widowControl w:val="0"/>
            </w:pPr>
            <w:r>
              <w:rPr>
                <w:color w:val="111111"/>
              </w:rPr>
              <w:t>(</w:t>
            </w:r>
            <w:r w:rsidRPr="007F556B">
              <w:rPr>
                <w:color w:val="111111"/>
              </w:rPr>
              <w:t>The</w:t>
            </w:r>
            <w:r>
              <w:rPr>
                <w:color w:val="111111"/>
              </w:rPr>
              <w:t>)</w:t>
            </w:r>
            <w:r w:rsidRPr="007F556B">
              <w:rPr>
                <w:color w:val="111111"/>
              </w:rPr>
              <w:t xml:space="preserve"> Financial Services, consisting of Accounting, Cashiering, and Purchasing, is responsible for safeguarding the college’s fiscal assets and ensuring college compliance with federal, state and local laws, rules and regulations, policies and in training of college staff. </w:t>
            </w:r>
            <w:r>
              <w:rPr>
                <w:color w:val="111111"/>
              </w:rPr>
              <w:t xml:space="preserve"> </w:t>
            </w:r>
            <w:r w:rsidRPr="007F556B">
              <w:rPr>
                <w:color w:val="111111"/>
              </w:rPr>
              <w:t>Our department is committed to providing responsive business services and accurate financial information to the students, employees, and customers of Highline College</w:t>
            </w:r>
            <w:r>
              <w:rPr>
                <w:color w:val="111111"/>
              </w:rPr>
              <w:t>.</w:t>
            </w:r>
            <w:r w:rsidRPr="007F556B">
              <w:rPr>
                <w:color w:val="111111"/>
              </w:rPr>
              <w:t xml:space="preserve"> </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C8735D" w:rsidRDefault="002B5466" w:rsidP="00614A5F">
            <w:pPr>
              <w:numPr>
                <w:ilvl w:val="0"/>
                <w:numId w:val="5"/>
              </w:numPr>
              <w:pBdr>
                <w:top w:val="nil"/>
                <w:left w:val="nil"/>
                <w:bottom w:val="nil"/>
                <w:right w:val="nil"/>
                <w:between w:val="nil"/>
              </w:pBdr>
              <w:tabs>
                <w:tab w:val="left" w:pos="281"/>
              </w:tabs>
              <w:spacing w:before="60" w:after="60"/>
              <w:rPr>
                <w:rFonts w:ascii="Calibri" w:eastAsia="Calibri" w:hAnsi="Calibri" w:cs="Calibri"/>
                <w:color w:val="000000"/>
                <w:sz w:val="22"/>
                <w:szCs w:val="22"/>
              </w:rPr>
            </w:pPr>
            <w:r w:rsidRPr="00C8735D">
              <w:rPr>
                <w:rFonts w:ascii="Calibri" w:eastAsia="Calibri" w:hAnsi="Calibri" w:cs="Calibri"/>
                <w:color w:val="000000"/>
                <w:sz w:val="22"/>
                <w:szCs w:val="22"/>
              </w:rPr>
              <w:t xml:space="preserve">Finance, </w:t>
            </w:r>
            <w:r w:rsidR="00C8735D" w:rsidRPr="00C8735D">
              <w:rPr>
                <w:rFonts w:ascii="Calibri" w:eastAsia="Calibri" w:hAnsi="Calibri" w:cs="Calibri"/>
                <w:color w:val="000000"/>
                <w:sz w:val="22"/>
                <w:szCs w:val="22"/>
              </w:rPr>
              <w:t>(Accounting, Cashiering and Purchasing)</w:t>
            </w:r>
            <w:r w:rsidRPr="00C8735D">
              <w:rPr>
                <w:rFonts w:ascii="Calibri" w:eastAsia="Calibri" w:hAnsi="Calibri" w:cs="Calibri"/>
                <w:color w:val="000000"/>
                <w:sz w:val="22"/>
                <w:szCs w:val="22"/>
              </w:rPr>
              <w:t xml:space="preserve"> have</w:t>
            </w:r>
            <w:r w:rsidR="000C6F09">
              <w:rPr>
                <w:rFonts w:ascii="Calibri" w:eastAsia="Calibri" w:hAnsi="Calibri" w:cs="Calibri"/>
                <w:color w:val="000000"/>
                <w:sz w:val="22"/>
                <w:szCs w:val="22"/>
              </w:rPr>
              <w:t xml:space="preserve"> been fully staffed during the F</w:t>
            </w:r>
            <w:r w:rsidRPr="00C8735D">
              <w:rPr>
                <w:rFonts w:ascii="Calibri" w:eastAsia="Calibri" w:hAnsi="Calibri" w:cs="Calibri"/>
                <w:color w:val="000000"/>
                <w:sz w:val="22"/>
                <w:szCs w:val="22"/>
              </w:rPr>
              <w:t xml:space="preserve">Y2019-20 with no turnover or vacancies.  </w:t>
            </w:r>
            <w:r w:rsidR="00C8735D">
              <w:rPr>
                <w:rFonts w:ascii="Calibri" w:eastAsia="Calibri" w:hAnsi="Calibri" w:cs="Calibri"/>
                <w:color w:val="000000"/>
                <w:sz w:val="22"/>
                <w:szCs w:val="22"/>
              </w:rPr>
              <w:t xml:space="preserve">(Core </w:t>
            </w:r>
            <w:r w:rsidR="000C6F09">
              <w:rPr>
                <w:rFonts w:ascii="Calibri" w:eastAsia="Calibri" w:hAnsi="Calibri" w:cs="Calibri"/>
                <w:color w:val="000000"/>
                <w:sz w:val="22"/>
                <w:szCs w:val="22"/>
              </w:rPr>
              <w:t>T</w:t>
            </w:r>
            <w:r w:rsidR="00C8735D">
              <w:rPr>
                <w:rFonts w:ascii="Calibri" w:eastAsia="Calibri" w:hAnsi="Calibri" w:cs="Calibri"/>
                <w:color w:val="000000"/>
                <w:sz w:val="22"/>
                <w:szCs w:val="22"/>
              </w:rPr>
              <w:t xml:space="preserve">heme 4, </w:t>
            </w:r>
            <w:r w:rsidR="000C6F09">
              <w:rPr>
                <w:rFonts w:ascii="Calibri" w:eastAsia="Calibri" w:hAnsi="Calibri" w:cs="Calibri"/>
                <w:color w:val="000000"/>
                <w:sz w:val="22"/>
                <w:szCs w:val="22"/>
              </w:rPr>
              <w:t>O</w:t>
            </w:r>
            <w:r w:rsidR="00C8735D">
              <w:rPr>
                <w:rFonts w:ascii="Calibri" w:eastAsia="Calibri" w:hAnsi="Calibri" w:cs="Calibri"/>
                <w:color w:val="000000"/>
                <w:sz w:val="22"/>
                <w:szCs w:val="22"/>
              </w:rPr>
              <w:t>bjective 1, indicator 1.3)</w:t>
            </w:r>
          </w:p>
          <w:p w:rsidR="002B5466" w:rsidRPr="000C6F09" w:rsidRDefault="00C8735D" w:rsidP="000C6F09">
            <w:pPr>
              <w:numPr>
                <w:ilvl w:val="0"/>
                <w:numId w:val="5"/>
              </w:num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044B3A" w:rsidRPr="00C8735D">
              <w:rPr>
                <w:rFonts w:ascii="Calibri" w:eastAsia="Calibri" w:hAnsi="Calibri" w:cs="Calibri"/>
                <w:color w:val="000000"/>
                <w:sz w:val="22"/>
                <w:szCs w:val="22"/>
              </w:rPr>
              <w:t>The Director of Finance, as part of her CPA requirements, has continued to pursue CPE credits during the</w:t>
            </w:r>
            <w:r w:rsidR="00E608DA" w:rsidRPr="00C8735D">
              <w:rPr>
                <w:rFonts w:ascii="Calibri" w:eastAsia="Calibri" w:hAnsi="Calibri" w:cs="Calibri"/>
                <w:color w:val="000000"/>
                <w:sz w:val="22"/>
                <w:szCs w:val="22"/>
              </w:rPr>
              <w:t xml:space="preserve"> year.  </w:t>
            </w:r>
            <w:r w:rsidR="000C6F09">
              <w:rPr>
                <w:rFonts w:ascii="Calibri" w:eastAsia="Calibri" w:hAnsi="Calibri" w:cs="Calibri"/>
                <w:color w:val="000000"/>
                <w:sz w:val="22"/>
                <w:szCs w:val="22"/>
              </w:rPr>
              <w:t xml:space="preserve">All staff has been participating in </w:t>
            </w:r>
            <w:proofErr w:type="spellStart"/>
            <w:r w:rsidR="000C6F09">
              <w:rPr>
                <w:rFonts w:ascii="Calibri" w:eastAsia="Calibri" w:hAnsi="Calibri" w:cs="Calibri"/>
                <w:color w:val="000000"/>
                <w:sz w:val="22"/>
                <w:szCs w:val="22"/>
              </w:rPr>
              <w:t>ctcLink</w:t>
            </w:r>
            <w:proofErr w:type="spellEnd"/>
            <w:r w:rsidR="000C6F09">
              <w:rPr>
                <w:rFonts w:ascii="Calibri" w:eastAsia="Calibri" w:hAnsi="Calibri" w:cs="Calibri"/>
                <w:color w:val="000000"/>
                <w:sz w:val="22"/>
                <w:szCs w:val="22"/>
              </w:rPr>
              <w:t xml:space="preserve"> Canvas training in preparation of move to PeopleSoft</w:t>
            </w:r>
            <w:r w:rsidR="0023535C">
              <w:rPr>
                <w:rFonts w:ascii="Calibri" w:eastAsia="Calibri" w:hAnsi="Calibri" w:cs="Calibri"/>
                <w:color w:val="000000"/>
                <w:sz w:val="22"/>
                <w:szCs w:val="22"/>
              </w:rPr>
              <w:t xml:space="preserve"> as well as other professional development and training opportunities. The</w:t>
            </w:r>
            <w:r w:rsidR="000C6F09">
              <w:rPr>
                <w:rFonts w:ascii="Calibri" w:eastAsia="Calibri" w:hAnsi="Calibri" w:cs="Calibri"/>
                <w:color w:val="000000"/>
                <w:sz w:val="22"/>
                <w:szCs w:val="22"/>
              </w:rPr>
              <w:t xml:space="preserve"> </w:t>
            </w:r>
            <w:r w:rsidR="000C6F09">
              <w:rPr>
                <w:color w:val="000000"/>
                <w:sz w:val="22"/>
                <w:szCs w:val="22"/>
              </w:rPr>
              <w:t>Procurement &amp; Supply Specialist 1 received his associate’s degree</w:t>
            </w:r>
            <w:r w:rsidR="0023535C">
              <w:rPr>
                <w:color w:val="000000"/>
                <w:sz w:val="22"/>
                <w:szCs w:val="22"/>
              </w:rPr>
              <w:t xml:space="preserve"> this past year</w:t>
            </w:r>
            <w:r w:rsidR="000C6F09">
              <w:rPr>
                <w:color w:val="000000"/>
                <w:sz w:val="22"/>
                <w:szCs w:val="22"/>
              </w:rPr>
              <w:t xml:space="preserve">.  </w:t>
            </w:r>
            <w:r w:rsidR="0035610F" w:rsidRPr="000C6F09">
              <w:rPr>
                <w:rFonts w:ascii="Calibri" w:eastAsia="Calibri" w:hAnsi="Calibri" w:cs="Calibri"/>
                <w:color w:val="000000"/>
                <w:sz w:val="22"/>
                <w:szCs w:val="22"/>
              </w:rPr>
              <w:t>(Core Theme 4, Objective</w:t>
            </w:r>
            <w:r w:rsidRPr="000C6F09">
              <w:rPr>
                <w:rFonts w:ascii="Calibri" w:eastAsia="Calibri" w:hAnsi="Calibri" w:cs="Calibri"/>
                <w:color w:val="000000"/>
                <w:sz w:val="22"/>
                <w:szCs w:val="22"/>
              </w:rPr>
              <w:t xml:space="preserve"> 1, indicator</w:t>
            </w:r>
            <w:r w:rsidR="0035610F" w:rsidRPr="000C6F09">
              <w:rPr>
                <w:rFonts w:ascii="Calibri" w:eastAsia="Calibri" w:hAnsi="Calibri" w:cs="Calibri"/>
                <w:color w:val="000000"/>
                <w:sz w:val="22"/>
                <w:szCs w:val="22"/>
              </w:rPr>
              <w:t xml:space="preserve"> 1.1).</w:t>
            </w:r>
            <w:r w:rsidR="000C6F09" w:rsidRPr="000C6F09">
              <w:rPr>
                <w:rFonts w:ascii="Calibri" w:eastAsia="Calibri" w:hAnsi="Calibri" w:cs="Calibri"/>
                <w:color w:val="000000"/>
                <w:sz w:val="22"/>
                <w:szCs w:val="22"/>
              </w:rPr>
              <w:t xml:space="preserve">  </w:t>
            </w:r>
          </w:p>
          <w:p w:rsidR="0035610F" w:rsidRDefault="00E608DA">
            <w:pPr>
              <w:numPr>
                <w:ilvl w:val="0"/>
                <w:numId w:val="5"/>
              </w:num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The College successfully completed the 2019 financial audit with no findings.  It was mentioned by the State auditors that Highline’s process should serve as a model for our state system.  (Core Theme 4, Objective </w:t>
            </w:r>
            <w:r w:rsidR="00C8735D">
              <w:rPr>
                <w:rFonts w:ascii="Calibri" w:eastAsia="Calibri" w:hAnsi="Calibri" w:cs="Calibri"/>
                <w:color w:val="000000"/>
                <w:sz w:val="22"/>
                <w:szCs w:val="22"/>
              </w:rPr>
              <w:t>2, indicator 2.2</w:t>
            </w:r>
            <w:r>
              <w:rPr>
                <w:rFonts w:ascii="Calibri" w:eastAsia="Calibri" w:hAnsi="Calibri" w:cs="Calibri"/>
                <w:color w:val="000000"/>
                <w:sz w:val="22"/>
                <w:szCs w:val="22"/>
              </w:rPr>
              <w:t>)</w:t>
            </w:r>
          </w:p>
          <w:p w:rsidR="00265B0A" w:rsidRDefault="00C8735D" w:rsidP="00C8735D">
            <w:pPr>
              <w:numPr>
                <w:ilvl w:val="0"/>
                <w:numId w:val="5"/>
              </w:numPr>
              <w:pBdr>
                <w:top w:val="nil"/>
                <w:left w:val="nil"/>
                <w:bottom w:val="nil"/>
                <w:right w:val="nil"/>
                <w:between w:val="nil"/>
              </w:pBdr>
              <w:tabs>
                <w:tab w:val="left" w:pos="281"/>
              </w:tabs>
              <w:spacing w:before="60"/>
              <w:rPr>
                <w:rFonts w:ascii="Calibri" w:eastAsia="Calibri" w:hAnsi="Calibri" w:cs="Calibri"/>
                <w:sz w:val="22"/>
                <w:szCs w:val="22"/>
              </w:rPr>
            </w:pPr>
            <w:r>
              <w:rPr>
                <w:rFonts w:ascii="Calibri" w:eastAsia="Calibri" w:hAnsi="Calibri" w:cs="Calibri"/>
                <w:color w:val="000000"/>
                <w:sz w:val="22"/>
                <w:szCs w:val="22"/>
              </w:rPr>
              <w:t xml:space="preserve">Performance </w:t>
            </w:r>
            <w:r w:rsidR="00E608DA">
              <w:rPr>
                <w:rFonts w:ascii="Calibri" w:eastAsia="Calibri" w:hAnsi="Calibri" w:cs="Calibri"/>
                <w:color w:val="000000"/>
                <w:sz w:val="22"/>
                <w:szCs w:val="22"/>
              </w:rPr>
              <w:t xml:space="preserve">evaluations for all of the </w:t>
            </w:r>
            <w:r>
              <w:rPr>
                <w:rFonts w:ascii="Calibri" w:eastAsia="Calibri" w:hAnsi="Calibri" w:cs="Calibri"/>
                <w:color w:val="000000"/>
                <w:sz w:val="22"/>
                <w:szCs w:val="22"/>
              </w:rPr>
              <w:t>finance staff have been completed</w:t>
            </w:r>
            <w:r w:rsidR="00E608DA">
              <w:rPr>
                <w:rFonts w:ascii="Calibri" w:eastAsia="Calibri" w:hAnsi="Calibri" w:cs="Calibri"/>
                <w:color w:val="000000"/>
                <w:sz w:val="22"/>
                <w:szCs w:val="22"/>
              </w:rPr>
              <w:t>.  (Core Theme 4</w:t>
            </w:r>
            <w:r w:rsidR="000C6F09">
              <w:rPr>
                <w:rFonts w:ascii="Calibri" w:eastAsia="Calibri" w:hAnsi="Calibri" w:cs="Calibri"/>
                <w:color w:val="000000"/>
                <w:sz w:val="22"/>
                <w:szCs w:val="22"/>
              </w:rPr>
              <w:t>, O</w:t>
            </w:r>
            <w:r>
              <w:rPr>
                <w:rFonts w:ascii="Calibri" w:eastAsia="Calibri" w:hAnsi="Calibri" w:cs="Calibri"/>
                <w:color w:val="000000"/>
                <w:sz w:val="22"/>
                <w:szCs w:val="22"/>
              </w:rPr>
              <w:t>bjective 1</w:t>
            </w:r>
            <w:r w:rsidR="00E608DA">
              <w:rPr>
                <w:rFonts w:ascii="Calibri" w:eastAsia="Calibri" w:hAnsi="Calibri" w:cs="Calibri"/>
                <w:color w:val="000000"/>
                <w:sz w:val="22"/>
                <w:szCs w:val="22"/>
              </w:rPr>
              <w:t>)</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3A2F49" w:rsidRDefault="0023535C" w:rsidP="009869AF">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Finance has a v</w:t>
            </w:r>
            <w:r w:rsidR="00C8735D" w:rsidRPr="003A2F49">
              <w:rPr>
                <w:rFonts w:ascii="Calibri" w:eastAsia="Calibri" w:hAnsi="Calibri" w:cs="Calibri"/>
                <w:color w:val="000000"/>
                <w:sz w:val="22"/>
                <w:szCs w:val="22"/>
              </w:rPr>
              <w:t>ery experienced and professional team</w:t>
            </w:r>
            <w:r>
              <w:rPr>
                <w:rFonts w:ascii="Calibri" w:eastAsia="Calibri" w:hAnsi="Calibri" w:cs="Calibri"/>
                <w:color w:val="000000"/>
                <w:sz w:val="22"/>
                <w:szCs w:val="22"/>
              </w:rPr>
              <w:t xml:space="preserve"> with an</w:t>
            </w:r>
            <w:r w:rsidR="003A2F49" w:rsidRPr="003A2F49">
              <w:rPr>
                <w:rFonts w:ascii="Calibri" w:eastAsia="Calibri" w:hAnsi="Calibri" w:cs="Calibri"/>
                <w:color w:val="000000"/>
                <w:sz w:val="22"/>
                <w:szCs w:val="22"/>
              </w:rPr>
              <w:t xml:space="preserve"> </w:t>
            </w:r>
            <w:r w:rsidR="000C6F09">
              <w:rPr>
                <w:rFonts w:ascii="Calibri" w:eastAsia="Calibri" w:hAnsi="Calibri" w:cs="Calibri"/>
                <w:color w:val="000000"/>
                <w:sz w:val="22"/>
                <w:szCs w:val="22"/>
              </w:rPr>
              <w:t>average</w:t>
            </w:r>
            <w:r>
              <w:rPr>
                <w:rFonts w:ascii="Calibri" w:eastAsia="Calibri" w:hAnsi="Calibri" w:cs="Calibri"/>
                <w:color w:val="000000"/>
                <w:sz w:val="22"/>
                <w:szCs w:val="22"/>
              </w:rPr>
              <w:t xml:space="preserve"> of</w:t>
            </w:r>
            <w:r w:rsidR="003A2F49" w:rsidRPr="003A2F49">
              <w:rPr>
                <w:rFonts w:ascii="Calibri" w:eastAsia="Calibri" w:hAnsi="Calibri" w:cs="Calibri"/>
                <w:color w:val="000000"/>
                <w:sz w:val="22"/>
                <w:szCs w:val="22"/>
              </w:rPr>
              <w:t xml:space="preserve"> </w:t>
            </w:r>
            <w:r w:rsidR="008D51C6">
              <w:rPr>
                <w:rFonts w:ascii="Calibri" w:eastAsia="Calibri" w:hAnsi="Calibri" w:cs="Calibri"/>
                <w:color w:val="000000"/>
                <w:sz w:val="22"/>
                <w:szCs w:val="22"/>
              </w:rPr>
              <w:t>10.5</w:t>
            </w:r>
            <w:r w:rsidR="003A2F49" w:rsidRPr="003A2F49">
              <w:rPr>
                <w:rFonts w:ascii="Calibri" w:eastAsia="Calibri" w:hAnsi="Calibri" w:cs="Calibri"/>
                <w:color w:val="000000"/>
                <w:sz w:val="22"/>
                <w:szCs w:val="22"/>
              </w:rPr>
              <w:t xml:space="preserve"> years</w:t>
            </w:r>
            <w:r w:rsidR="005E71F3" w:rsidRPr="003A2F49">
              <w:rPr>
                <w:rFonts w:ascii="Calibri" w:eastAsia="Calibri" w:hAnsi="Calibri" w:cs="Calibri"/>
                <w:color w:val="000000"/>
                <w:sz w:val="22"/>
                <w:szCs w:val="22"/>
              </w:rPr>
              <w:t xml:space="preserve"> </w:t>
            </w:r>
            <w:r w:rsidR="008D51C6">
              <w:rPr>
                <w:rFonts w:ascii="Calibri" w:eastAsia="Calibri" w:hAnsi="Calibri" w:cs="Calibri"/>
                <w:color w:val="000000"/>
                <w:sz w:val="22"/>
                <w:szCs w:val="22"/>
              </w:rPr>
              <w:t xml:space="preserve">(12 employees, years of service high of 38 and low of 2) </w:t>
            </w:r>
            <w:r w:rsidR="005E71F3" w:rsidRPr="003A2F49">
              <w:rPr>
                <w:rFonts w:ascii="Calibri" w:eastAsia="Calibri" w:hAnsi="Calibri" w:cs="Calibri"/>
                <w:color w:val="000000"/>
                <w:sz w:val="22"/>
                <w:szCs w:val="22"/>
              </w:rPr>
              <w:t xml:space="preserve">of working experience within the WA community college system.  </w:t>
            </w:r>
          </w:p>
          <w:p w:rsidR="004811D0" w:rsidRPr="00772402" w:rsidRDefault="004811D0" w:rsidP="009869AF">
            <w:pPr>
              <w:numPr>
                <w:ilvl w:val="0"/>
                <w:numId w:val="4"/>
              </w:numPr>
              <w:pBdr>
                <w:top w:val="nil"/>
                <w:left w:val="nil"/>
                <w:bottom w:val="nil"/>
                <w:right w:val="nil"/>
                <w:between w:val="nil"/>
              </w:pBdr>
              <w:tabs>
                <w:tab w:val="left" w:pos="8514"/>
              </w:tabs>
              <w:spacing w:before="60"/>
              <w:rPr>
                <w:rFonts w:ascii="Calibri" w:eastAsia="Calibri" w:hAnsi="Calibri" w:cs="Calibri"/>
                <w:i/>
                <w:color w:val="FF0000"/>
                <w:sz w:val="22"/>
                <w:szCs w:val="22"/>
              </w:rPr>
            </w:pPr>
            <w:r w:rsidRPr="003A2F49">
              <w:rPr>
                <w:rFonts w:ascii="Calibri" w:eastAsia="Calibri" w:hAnsi="Calibri" w:cs="Calibri"/>
                <w:color w:val="000000"/>
                <w:sz w:val="22"/>
                <w:szCs w:val="22"/>
              </w:rPr>
              <w:t>In addition to the extensive rele</w:t>
            </w:r>
            <w:r w:rsidR="00911EE5" w:rsidRPr="003A2F49">
              <w:rPr>
                <w:rFonts w:ascii="Calibri" w:eastAsia="Calibri" w:hAnsi="Calibri" w:cs="Calibri"/>
                <w:color w:val="000000"/>
                <w:sz w:val="22"/>
                <w:szCs w:val="22"/>
              </w:rPr>
              <w:t xml:space="preserve">vant working experience, the </w:t>
            </w:r>
            <w:r w:rsidR="003A2F49">
              <w:rPr>
                <w:rFonts w:ascii="Calibri" w:eastAsia="Calibri" w:hAnsi="Calibri" w:cs="Calibri"/>
                <w:color w:val="000000"/>
                <w:sz w:val="22"/>
                <w:szCs w:val="22"/>
              </w:rPr>
              <w:t xml:space="preserve">Financial Services Department </w:t>
            </w:r>
            <w:r w:rsidR="00911EE5" w:rsidRPr="003A2F49">
              <w:rPr>
                <w:rFonts w:ascii="Calibri" w:eastAsia="Calibri" w:hAnsi="Calibri" w:cs="Calibri"/>
                <w:color w:val="000000"/>
                <w:sz w:val="22"/>
                <w:szCs w:val="22"/>
              </w:rPr>
              <w:t xml:space="preserve">is highly qualified.  </w:t>
            </w:r>
            <w:r w:rsidR="003A2F49">
              <w:rPr>
                <w:rFonts w:ascii="Calibri" w:eastAsia="Calibri" w:hAnsi="Calibri" w:cs="Calibri"/>
                <w:color w:val="000000"/>
                <w:sz w:val="22"/>
                <w:szCs w:val="22"/>
              </w:rPr>
              <w:t xml:space="preserve">The </w:t>
            </w:r>
            <w:r w:rsidR="00911EE5" w:rsidRPr="003A2F49">
              <w:rPr>
                <w:rFonts w:ascii="Calibri" w:eastAsia="Calibri" w:hAnsi="Calibri" w:cs="Calibri"/>
                <w:color w:val="000000"/>
                <w:sz w:val="22"/>
                <w:szCs w:val="22"/>
              </w:rPr>
              <w:t>director</w:t>
            </w:r>
            <w:r w:rsidR="003A2F49">
              <w:rPr>
                <w:rFonts w:ascii="Calibri" w:eastAsia="Calibri" w:hAnsi="Calibri" w:cs="Calibri"/>
                <w:color w:val="000000"/>
                <w:sz w:val="22"/>
                <w:szCs w:val="22"/>
              </w:rPr>
              <w:t xml:space="preserve"> is a CPA with over thirty years of accounting experience.</w:t>
            </w:r>
            <w:r w:rsidR="000C6F09">
              <w:rPr>
                <w:rFonts w:ascii="Calibri" w:eastAsia="Calibri" w:hAnsi="Calibri" w:cs="Calibri"/>
                <w:color w:val="000000"/>
                <w:sz w:val="22"/>
                <w:szCs w:val="22"/>
              </w:rPr>
              <w:t xml:space="preserve"> Most of the accounting staff have at least an associate’s degree and several hold master’s in their field of expertise.</w:t>
            </w:r>
          </w:p>
          <w:p w:rsidR="00852472" w:rsidRDefault="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3A2F49">
              <w:rPr>
                <w:rFonts w:ascii="Calibri" w:eastAsia="Calibri" w:hAnsi="Calibri" w:cs="Calibri"/>
                <w:color w:val="000000"/>
                <w:sz w:val="22"/>
                <w:szCs w:val="22"/>
              </w:rPr>
              <w:t xml:space="preserve">Financial </w:t>
            </w:r>
            <w:r>
              <w:rPr>
                <w:rFonts w:ascii="Calibri" w:eastAsia="Calibri" w:hAnsi="Calibri" w:cs="Calibri"/>
                <w:color w:val="000000"/>
                <w:sz w:val="22"/>
                <w:szCs w:val="22"/>
              </w:rPr>
              <w:t>Services D</w:t>
            </w:r>
            <w:r w:rsidR="003A2F49">
              <w:rPr>
                <w:rFonts w:ascii="Calibri" w:eastAsia="Calibri" w:hAnsi="Calibri" w:cs="Calibri"/>
                <w:color w:val="000000"/>
                <w:sz w:val="22"/>
                <w:szCs w:val="22"/>
              </w:rPr>
              <w:t>epartment</w:t>
            </w:r>
            <w:r>
              <w:rPr>
                <w:rFonts w:ascii="Calibri" w:eastAsia="Calibri" w:hAnsi="Calibri" w:cs="Calibri"/>
                <w:color w:val="000000"/>
                <w:sz w:val="22"/>
                <w:szCs w:val="22"/>
              </w:rPr>
              <w:t xml:space="preserve"> is knowledgeable about </w:t>
            </w:r>
            <w:r w:rsidR="003A2F49">
              <w:rPr>
                <w:rFonts w:ascii="Calibri" w:eastAsia="Calibri" w:hAnsi="Calibri" w:cs="Calibri"/>
                <w:color w:val="000000"/>
                <w:sz w:val="22"/>
                <w:szCs w:val="22"/>
              </w:rPr>
              <w:t xml:space="preserve">how </w:t>
            </w:r>
            <w:r>
              <w:rPr>
                <w:rFonts w:ascii="Calibri" w:eastAsia="Calibri" w:hAnsi="Calibri" w:cs="Calibri"/>
                <w:color w:val="000000"/>
                <w:sz w:val="22"/>
                <w:szCs w:val="22"/>
              </w:rPr>
              <w:t>our work support</w:t>
            </w:r>
            <w:r w:rsidR="003A2F49">
              <w:rPr>
                <w:rFonts w:ascii="Calibri" w:eastAsia="Calibri" w:hAnsi="Calibri" w:cs="Calibri"/>
                <w:color w:val="000000"/>
                <w:sz w:val="22"/>
                <w:szCs w:val="22"/>
              </w:rPr>
              <w:t>s</w:t>
            </w:r>
            <w:r>
              <w:rPr>
                <w:rFonts w:ascii="Calibri" w:eastAsia="Calibri" w:hAnsi="Calibri" w:cs="Calibri"/>
                <w:color w:val="000000"/>
                <w:sz w:val="22"/>
                <w:szCs w:val="22"/>
              </w:rPr>
              <w:t xml:space="preserve"> Highline </w:t>
            </w:r>
            <w:r>
              <w:rPr>
                <w:rFonts w:ascii="Calibri" w:eastAsia="Calibri" w:hAnsi="Calibri" w:cs="Calibri"/>
                <w:color w:val="000000"/>
                <w:sz w:val="22"/>
                <w:szCs w:val="22"/>
              </w:rPr>
              <w:lastRenderedPageBreak/>
              <w:t>College</w:t>
            </w:r>
            <w:r w:rsidR="0023535C">
              <w:rPr>
                <w:rFonts w:ascii="Calibri" w:eastAsia="Calibri" w:hAnsi="Calibri" w:cs="Calibri"/>
                <w:color w:val="000000"/>
                <w:sz w:val="22"/>
                <w:szCs w:val="22"/>
              </w:rPr>
              <w:t xml:space="preserve"> and is dedicated to serving the faculty, staff and students in the most efficient way possible. </w:t>
            </w:r>
          </w:p>
          <w:p w:rsidR="00210D9E" w:rsidRPr="00852472" w:rsidRDefault="0023535C"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A major strength of the Financial Services </w:t>
            </w:r>
            <w:r w:rsidR="00084A15">
              <w:rPr>
                <w:rFonts w:ascii="Calibri" w:eastAsia="Calibri" w:hAnsi="Calibri" w:cs="Calibri"/>
                <w:color w:val="000000"/>
                <w:sz w:val="22"/>
                <w:szCs w:val="22"/>
              </w:rPr>
              <w:t>staff</w:t>
            </w:r>
            <w:r>
              <w:rPr>
                <w:rFonts w:ascii="Calibri" w:eastAsia="Calibri" w:hAnsi="Calibri" w:cs="Calibri"/>
                <w:color w:val="000000"/>
                <w:sz w:val="22"/>
                <w:szCs w:val="22"/>
              </w:rPr>
              <w:t xml:space="preserve"> is the diverse backgrounds that comprise our team. The Financial Services Team is committed to diversity, equity and inclusion</w:t>
            </w:r>
            <w:r w:rsidR="00084A15">
              <w:rPr>
                <w:rFonts w:ascii="Calibri" w:eastAsia="Calibri" w:hAnsi="Calibri" w:cs="Calibri"/>
                <w:color w:val="000000"/>
                <w:sz w:val="22"/>
                <w:szCs w:val="22"/>
              </w:rPr>
              <w:t xml:space="preserve"> in the workplace as well as meeting the needs of our diverse community. </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210D9E">
        <w:trPr>
          <w:trHeight w:val="142"/>
        </w:trPr>
        <w:tc>
          <w:tcPr>
            <w:tcW w:w="9450" w:type="dxa"/>
            <w:shd w:val="clear" w:color="auto" w:fill="auto"/>
          </w:tcPr>
          <w:p w:rsidR="009A4D30" w:rsidRPr="009A4D30" w:rsidRDefault="009A4D30"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The pandemic is creating challenges for employee working environments (remote working) as well as inter-departmental communication</w:t>
            </w:r>
            <w:r w:rsidR="000C6F09">
              <w:rPr>
                <w:rFonts w:ascii="Calibri" w:eastAsia="Calibri" w:hAnsi="Calibri" w:cs="Calibri"/>
                <w:color w:val="000000"/>
                <w:sz w:val="22"/>
                <w:szCs w:val="22"/>
              </w:rPr>
              <w:t xml:space="preserve"> and the maintenance of internal control procedures</w:t>
            </w:r>
            <w:r>
              <w:rPr>
                <w:rFonts w:ascii="Calibri" w:eastAsia="Calibri" w:hAnsi="Calibri" w:cs="Calibri"/>
                <w:color w:val="000000"/>
                <w:sz w:val="22"/>
                <w:szCs w:val="22"/>
              </w:rPr>
              <w:t>.</w:t>
            </w:r>
          </w:p>
          <w:p w:rsidR="009A4D30" w:rsidRDefault="00772402">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 xml:space="preserve">Imminent </w:t>
            </w:r>
            <w:r w:rsidR="009A4D30">
              <w:rPr>
                <w:rFonts w:ascii="Calibri" w:eastAsia="Calibri" w:hAnsi="Calibri" w:cs="Calibri"/>
                <w:color w:val="000000"/>
                <w:sz w:val="22"/>
                <w:szCs w:val="22"/>
              </w:rPr>
              <w:t>implementation of</w:t>
            </w:r>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ctcLink</w:t>
            </w:r>
            <w:proofErr w:type="spellEnd"/>
            <w:r>
              <w:rPr>
                <w:rFonts w:ascii="Calibri" w:eastAsia="Calibri" w:hAnsi="Calibri" w:cs="Calibri"/>
                <w:color w:val="000000"/>
                <w:sz w:val="22"/>
                <w:szCs w:val="22"/>
              </w:rPr>
              <w:t xml:space="preserve"> project and workload </w:t>
            </w:r>
            <w:r w:rsidR="00084A15">
              <w:rPr>
                <w:rFonts w:ascii="Calibri" w:eastAsia="Calibri" w:hAnsi="Calibri" w:cs="Calibri"/>
                <w:color w:val="000000"/>
                <w:sz w:val="22"/>
                <w:szCs w:val="22"/>
              </w:rPr>
              <w:t>has created challenges for the team</w:t>
            </w:r>
          </w:p>
          <w:p w:rsidR="000C6F09" w:rsidRDefault="000C6F09">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Transitio</w:t>
            </w:r>
            <w:r w:rsidR="00084A15">
              <w:rPr>
                <w:rFonts w:ascii="Calibri" w:eastAsia="Calibri" w:hAnsi="Calibri" w:cs="Calibri"/>
                <w:color w:val="000000"/>
                <w:sz w:val="22"/>
                <w:szCs w:val="22"/>
              </w:rPr>
              <w:t>ning</w:t>
            </w:r>
            <w:r>
              <w:rPr>
                <w:rFonts w:ascii="Calibri" w:eastAsia="Calibri" w:hAnsi="Calibri" w:cs="Calibri"/>
                <w:color w:val="000000"/>
                <w:sz w:val="22"/>
                <w:szCs w:val="22"/>
              </w:rPr>
              <w:t xml:space="preserve"> from one merchant services agreement to another</w:t>
            </w:r>
            <w:r w:rsidR="00084A15">
              <w:rPr>
                <w:rFonts w:ascii="Calibri" w:eastAsia="Calibri" w:hAnsi="Calibri" w:cs="Calibri"/>
                <w:color w:val="000000"/>
                <w:sz w:val="22"/>
                <w:szCs w:val="22"/>
              </w:rPr>
              <w:t xml:space="preserve"> has also posed challenges, especially in the current remote working environment </w:t>
            </w:r>
          </w:p>
          <w:p w:rsidR="00210D9E" w:rsidRDefault="00210D9E">
            <w:pPr>
              <w:tabs>
                <w:tab w:val="left" w:pos="8514"/>
              </w:tabs>
              <w:spacing w:before="60" w:after="60"/>
              <w:rPr>
                <w:rFonts w:ascii="Calibri" w:eastAsia="Calibri" w:hAnsi="Calibri" w:cs="Calibri"/>
                <w:sz w:val="22"/>
                <w:szCs w:val="22"/>
              </w:rPr>
            </w:pP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210D9E" w:rsidRDefault="00664D9E" w:rsidP="000364A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Communications among departments as well as institution-wide</w:t>
            </w:r>
          </w:p>
          <w:p w:rsidR="00664D9E" w:rsidRPr="00664D9E" w:rsidRDefault="00664D9E" w:rsidP="000C6F09">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 xml:space="preserve">Working relationships </w:t>
            </w:r>
            <w:r w:rsidR="00084A15">
              <w:rPr>
                <w:rFonts w:ascii="Calibri" w:eastAsia="Calibri" w:hAnsi="Calibri" w:cs="Calibri"/>
                <w:sz w:val="22"/>
                <w:szCs w:val="22"/>
              </w:rPr>
              <w:t xml:space="preserve">with </w:t>
            </w:r>
            <w:r>
              <w:rPr>
                <w:rFonts w:ascii="Calibri" w:eastAsia="Calibri" w:hAnsi="Calibri" w:cs="Calibri"/>
                <w:sz w:val="22"/>
                <w:szCs w:val="22"/>
              </w:rPr>
              <w:t>other divisions</w:t>
            </w:r>
            <w:r w:rsidR="000C6F09">
              <w:rPr>
                <w:rFonts w:ascii="Calibri" w:eastAsia="Calibri" w:hAnsi="Calibri" w:cs="Calibri"/>
                <w:sz w:val="22"/>
                <w:szCs w:val="22"/>
              </w:rPr>
              <w:t xml:space="preserve"> and </w:t>
            </w:r>
            <w:r>
              <w:rPr>
                <w:rFonts w:ascii="Calibri" w:eastAsia="Calibri" w:hAnsi="Calibri" w:cs="Calibri"/>
                <w:sz w:val="22"/>
                <w:szCs w:val="22"/>
              </w:rPr>
              <w:t>departments</w:t>
            </w:r>
            <w:r w:rsidR="000C6F09">
              <w:rPr>
                <w:rFonts w:ascii="Calibri" w:eastAsia="Calibri" w:hAnsi="Calibri" w:cs="Calibri"/>
                <w:sz w:val="22"/>
                <w:szCs w:val="22"/>
              </w:rPr>
              <w:t xml:space="preserve"> </w:t>
            </w:r>
            <w:r>
              <w:rPr>
                <w:rFonts w:ascii="Calibri" w:eastAsia="Calibri" w:hAnsi="Calibri" w:cs="Calibri"/>
                <w:sz w:val="22"/>
                <w:szCs w:val="22"/>
              </w:rPr>
              <w:t>to be able to promptly and collaboratively respond to fiscal challenges</w:t>
            </w:r>
          </w:p>
        </w:tc>
      </w:tr>
    </w:tbl>
    <w:p w:rsidR="00210D9E" w:rsidRDefault="00210D9E">
      <w:pPr>
        <w:rPr>
          <w:sz w:val="4"/>
          <w:szCs w:val="4"/>
        </w:rPr>
      </w:pP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3A2F49" w:rsidRDefault="003A2F49" w:rsidP="003A2F49">
            <w:r>
              <w:t>Finance:</w:t>
            </w:r>
          </w:p>
          <w:p w:rsidR="00772402" w:rsidRDefault="003A2F49" w:rsidP="00772402">
            <w:pPr>
              <w:pStyle w:val="ListParagraph"/>
              <w:numPr>
                <w:ilvl w:val="0"/>
                <w:numId w:val="7"/>
              </w:numPr>
              <w:spacing w:after="200" w:line="276" w:lineRule="auto"/>
            </w:pPr>
            <w:proofErr w:type="spellStart"/>
            <w:r>
              <w:t>ctcLink</w:t>
            </w:r>
            <w:proofErr w:type="spellEnd"/>
            <w:r>
              <w:t xml:space="preserve"> implementation for finance (core theme 2, objective 2)</w:t>
            </w:r>
          </w:p>
          <w:p w:rsidR="00772402" w:rsidRDefault="003A2F49" w:rsidP="00772402">
            <w:pPr>
              <w:pStyle w:val="ListParagraph"/>
              <w:numPr>
                <w:ilvl w:val="0"/>
                <w:numId w:val="7"/>
              </w:numPr>
              <w:spacing w:after="200" w:line="276" w:lineRule="auto"/>
            </w:pPr>
            <w:r>
              <w:t xml:space="preserve">Accreditation education for finance staff (how do we each fit into the mission and core themes of the college) </w:t>
            </w:r>
          </w:p>
          <w:p w:rsidR="003A2F49" w:rsidRDefault="003A2F49" w:rsidP="00772402">
            <w:pPr>
              <w:spacing w:after="200" w:line="276" w:lineRule="auto"/>
            </w:pPr>
            <w:r>
              <w:t>General Accounting</w:t>
            </w:r>
          </w:p>
          <w:p w:rsidR="003A2F49" w:rsidRDefault="003A2F49" w:rsidP="003A2F49">
            <w:pPr>
              <w:pStyle w:val="ListParagraph"/>
              <w:numPr>
                <w:ilvl w:val="0"/>
                <w:numId w:val="7"/>
              </w:numPr>
              <w:spacing w:after="200" w:line="276" w:lineRule="auto"/>
            </w:pPr>
            <w:r>
              <w:t>Document our risk assessment and internal control processes (Core theme 4, objective 2, indic</w:t>
            </w:r>
            <w:r w:rsidR="000C6F09">
              <w:t>a</w:t>
            </w:r>
            <w:r>
              <w:t>tor 2.2)</w:t>
            </w:r>
          </w:p>
          <w:p w:rsidR="003A2F49" w:rsidRDefault="003A2F49" w:rsidP="003A2F49">
            <w:pPr>
              <w:pStyle w:val="ListParagraph"/>
              <w:ind w:left="0"/>
            </w:pPr>
            <w:r>
              <w:t>Purchasing</w:t>
            </w:r>
          </w:p>
          <w:p w:rsidR="00210D9E" w:rsidRPr="00772402" w:rsidRDefault="003A2F49" w:rsidP="00772402">
            <w:pPr>
              <w:pStyle w:val="ListParagraph"/>
              <w:numPr>
                <w:ilvl w:val="0"/>
                <w:numId w:val="7"/>
              </w:numPr>
              <w:spacing w:after="200" w:line="276" w:lineRule="auto"/>
            </w:pPr>
            <w:r>
              <w:t>Improve process around small and attractive inventory controls</w:t>
            </w:r>
            <w:r w:rsidR="00772402">
              <w:t xml:space="preserve"> (Core theme 4, objective 2, indic</w:t>
            </w:r>
            <w:r w:rsidR="000C6F09">
              <w:t>a</w:t>
            </w:r>
            <w:r w:rsidR="00772402">
              <w:t>tor 2.2)</w:t>
            </w: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p w:rsidR="00210D9E" w:rsidRDefault="00210D9E">
      <w:bookmarkStart w:id="0" w:name="_GoBack"/>
      <w:bookmarkEnd w:id="0"/>
    </w:p>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DA2" w:rsidRDefault="00744DA2" w:rsidP="00210D9E">
      <w:r>
        <w:separator/>
      </w:r>
    </w:p>
  </w:endnote>
  <w:endnote w:type="continuationSeparator" w:id="0">
    <w:p w:rsidR="00744DA2" w:rsidRDefault="00744DA2"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E23B9B">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D51C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DA2" w:rsidRDefault="00744DA2" w:rsidP="00210D9E">
      <w:r>
        <w:separator/>
      </w:r>
    </w:p>
  </w:footnote>
  <w:footnote w:type="continuationSeparator" w:id="0">
    <w:p w:rsidR="00744DA2" w:rsidRDefault="00744DA2"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EA3C8822"/>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E70AAE"/>
    <w:multiLevelType w:val="hybridMultilevel"/>
    <w:tmpl w:val="BB9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7345F49"/>
    <w:multiLevelType w:val="hybridMultilevel"/>
    <w:tmpl w:val="C2E08E40"/>
    <w:lvl w:ilvl="0" w:tplc="D6866D9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9E"/>
    <w:rsid w:val="000364AE"/>
    <w:rsid w:val="00044B3A"/>
    <w:rsid w:val="00084A15"/>
    <w:rsid w:val="000C6F09"/>
    <w:rsid w:val="00166CE9"/>
    <w:rsid w:val="001F076B"/>
    <w:rsid w:val="00210D9E"/>
    <w:rsid w:val="0023535C"/>
    <w:rsid w:val="00265B0A"/>
    <w:rsid w:val="002B5466"/>
    <w:rsid w:val="0035610F"/>
    <w:rsid w:val="00356590"/>
    <w:rsid w:val="003A2F49"/>
    <w:rsid w:val="00476504"/>
    <w:rsid w:val="004811D0"/>
    <w:rsid w:val="004E04FE"/>
    <w:rsid w:val="0059439E"/>
    <w:rsid w:val="005E71F3"/>
    <w:rsid w:val="006103C0"/>
    <w:rsid w:val="00664D9E"/>
    <w:rsid w:val="006C7590"/>
    <w:rsid w:val="00744DA2"/>
    <w:rsid w:val="00772402"/>
    <w:rsid w:val="00852472"/>
    <w:rsid w:val="00852725"/>
    <w:rsid w:val="008A7E6A"/>
    <w:rsid w:val="008D51C6"/>
    <w:rsid w:val="00911EE5"/>
    <w:rsid w:val="009A4D30"/>
    <w:rsid w:val="00AE643D"/>
    <w:rsid w:val="00B51504"/>
    <w:rsid w:val="00C8735D"/>
    <w:rsid w:val="00D90B30"/>
    <w:rsid w:val="00DE2C20"/>
    <w:rsid w:val="00E23B9B"/>
    <w:rsid w:val="00E608DA"/>
    <w:rsid w:val="00F04E7B"/>
    <w:rsid w:val="00F17DD5"/>
    <w:rsid w:val="00F6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212E"/>
  <w15:docId w15:val="{DEE19AA3-CCEE-403F-881A-57D0E8DA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78A24B-ED87-4B02-96C2-F4A21789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Karlberg</dc:creator>
  <cp:lastModifiedBy>McBreen, Heather</cp:lastModifiedBy>
  <cp:revision>2</cp:revision>
  <dcterms:created xsi:type="dcterms:W3CDTF">2020-09-10T15:42:00Z</dcterms:created>
  <dcterms:modified xsi:type="dcterms:W3CDTF">2020-09-10T15:42:00Z</dcterms:modified>
</cp:coreProperties>
</file>