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AADB" w14:textId="77777777" w:rsidR="00A17B7C" w:rsidRDefault="00775FA3">
      <w:pPr>
        <w:spacing w:after="120"/>
        <w:rPr>
          <w:rFonts w:ascii="Open Sans" w:eastAsia="Open Sans" w:hAnsi="Open Sans" w:cs="Open Sans"/>
          <w:sz w:val="32"/>
          <w:szCs w:val="32"/>
        </w:rPr>
      </w:pPr>
      <w:bookmarkStart w:id="0" w:name="_gjdgxs" w:colFirst="0" w:colLast="0"/>
      <w:bookmarkEnd w:id="0"/>
      <w:r>
        <w:rPr>
          <w:rFonts w:ascii="Open Sans" w:eastAsia="Open Sans" w:hAnsi="Open Sans" w:cs="Open Sans"/>
          <w:sz w:val="32"/>
          <w:szCs w:val="32"/>
        </w:rPr>
        <w:t xml:space="preserve">Highline College Institutional Effectiveness Department Report </w:t>
      </w:r>
    </w:p>
    <w:p w14:paraId="372C9BE1" w14:textId="77777777" w:rsidR="00A17B7C" w:rsidRDefault="00775FA3">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A17B7C" w14:paraId="4E70ACB1" w14:textId="77777777">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083C8CAB" w14:textId="77777777"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A17B7C" w14:paraId="2B5E6864" w14:textId="77777777">
        <w:trPr>
          <w:trHeight w:val="421"/>
        </w:trPr>
        <w:tc>
          <w:tcPr>
            <w:tcW w:w="3510" w:type="dxa"/>
            <w:tcBorders>
              <w:right w:val="single" w:sz="8" w:space="0" w:color="7BA0CD"/>
            </w:tcBorders>
            <w:shd w:val="clear" w:color="auto" w:fill="auto"/>
          </w:tcPr>
          <w:p w14:paraId="568C666E"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14:paraId="4F307A81" w14:textId="77777777" w:rsidR="00A17B7C" w:rsidRDefault="00C6516D">
            <w:pPr>
              <w:tabs>
                <w:tab w:val="left" w:pos="8514"/>
              </w:tabs>
              <w:spacing w:before="60" w:after="60"/>
              <w:rPr>
                <w:rFonts w:ascii="Calibri" w:eastAsia="Calibri" w:hAnsi="Calibri" w:cs="Calibri"/>
                <w:sz w:val="22"/>
                <w:szCs w:val="22"/>
              </w:rPr>
            </w:pPr>
            <w:r>
              <w:rPr>
                <w:rFonts w:ascii="Calibri" w:eastAsia="Calibri" w:hAnsi="Calibri" w:cs="Calibri"/>
                <w:sz w:val="22"/>
                <w:szCs w:val="22"/>
              </w:rPr>
              <w:t>Student Success</w:t>
            </w:r>
          </w:p>
        </w:tc>
      </w:tr>
      <w:tr w:rsidR="00A17B7C" w14:paraId="42D05609" w14:textId="77777777">
        <w:trPr>
          <w:trHeight w:val="421"/>
        </w:trPr>
        <w:tc>
          <w:tcPr>
            <w:tcW w:w="3510" w:type="dxa"/>
            <w:tcBorders>
              <w:right w:val="single" w:sz="8" w:space="0" w:color="7BA0CD"/>
            </w:tcBorders>
            <w:shd w:val="clear" w:color="auto" w:fill="auto"/>
          </w:tcPr>
          <w:p w14:paraId="491953C7"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14:paraId="372351A8" w14:textId="77777777" w:rsidR="00A17B7C" w:rsidRDefault="00C6516D">
            <w:pPr>
              <w:tabs>
                <w:tab w:val="left" w:pos="8514"/>
              </w:tabs>
              <w:spacing w:before="60" w:after="60"/>
              <w:rPr>
                <w:rFonts w:ascii="Calibri" w:eastAsia="Calibri" w:hAnsi="Calibri" w:cs="Calibri"/>
                <w:sz w:val="22"/>
                <w:szCs w:val="22"/>
              </w:rPr>
            </w:pPr>
            <w:r>
              <w:rPr>
                <w:rFonts w:ascii="Calibri" w:eastAsia="Calibri" w:hAnsi="Calibri" w:cs="Calibri"/>
                <w:sz w:val="22"/>
                <w:szCs w:val="22"/>
              </w:rPr>
              <w:t>July 30, 2020</w:t>
            </w:r>
          </w:p>
        </w:tc>
      </w:tr>
      <w:tr w:rsidR="00A17B7C" w14:paraId="5E10A8BE" w14:textId="77777777">
        <w:trPr>
          <w:trHeight w:val="421"/>
        </w:trPr>
        <w:tc>
          <w:tcPr>
            <w:tcW w:w="3510" w:type="dxa"/>
            <w:tcBorders>
              <w:right w:val="single" w:sz="8" w:space="0" w:color="7BA0CD"/>
            </w:tcBorders>
            <w:shd w:val="clear" w:color="auto" w:fill="auto"/>
          </w:tcPr>
          <w:p w14:paraId="68A2357D"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14:paraId="267F2512" w14:textId="77777777" w:rsidR="00A17B7C" w:rsidRDefault="00515AEC">
            <w:pPr>
              <w:tabs>
                <w:tab w:val="left" w:pos="8514"/>
              </w:tabs>
              <w:spacing w:before="60" w:after="60"/>
              <w:rPr>
                <w:rFonts w:ascii="Calibri" w:eastAsia="Calibri" w:hAnsi="Calibri" w:cs="Calibri"/>
                <w:sz w:val="22"/>
                <w:szCs w:val="22"/>
              </w:rPr>
            </w:pPr>
            <w:r>
              <w:rPr>
                <w:rFonts w:ascii="Calibri" w:eastAsia="Calibri" w:hAnsi="Calibri" w:cs="Calibri"/>
                <w:sz w:val="22"/>
                <w:szCs w:val="22"/>
              </w:rPr>
              <w:t>Loyal Allen Jr., Mariela Barriga, Michelle McClendon</w:t>
            </w:r>
          </w:p>
        </w:tc>
      </w:tr>
      <w:tr w:rsidR="00A17B7C" w14:paraId="5B28AF01" w14:textId="77777777">
        <w:trPr>
          <w:trHeight w:val="367"/>
        </w:trPr>
        <w:tc>
          <w:tcPr>
            <w:tcW w:w="3510" w:type="dxa"/>
            <w:tcBorders>
              <w:bottom w:val="single" w:sz="8" w:space="0" w:color="7BA0CD"/>
              <w:right w:val="single" w:sz="8" w:space="0" w:color="7BA0CD"/>
            </w:tcBorders>
            <w:shd w:val="clear" w:color="auto" w:fill="auto"/>
          </w:tcPr>
          <w:p w14:paraId="30197D3D" w14:textId="77777777"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14:paraId="2F73CECC" w14:textId="77777777"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14:paraId="672A6659" w14:textId="77777777" w:rsidR="00A17B7C" w:rsidRDefault="00A17B7C">
            <w:pPr>
              <w:pBdr>
                <w:top w:val="nil"/>
                <w:left w:val="nil"/>
                <w:bottom w:val="nil"/>
                <w:right w:val="nil"/>
                <w:between w:val="nil"/>
              </w:pBdr>
              <w:tabs>
                <w:tab w:val="left" w:pos="281"/>
              </w:tabs>
              <w:spacing w:before="60" w:after="60"/>
              <w:rPr>
                <w:rFonts w:ascii="Calibri" w:eastAsia="Calibri" w:hAnsi="Calibri" w:cs="Calibri"/>
                <w:color w:val="000000"/>
                <w:sz w:val="22"/>
                <w:szCs w:val="22"/>
              </w:rPr>
            </w:pPr>
          </w:p>
        </w:tc>
      </w:tr>
    </w:tbl>
    <w:p w14:paraId="0A37501D" w14:textId="77777777" w:rsidR="00A17B7C" w:rsidRDefault="00A17B7C">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14:paraId="0D3C3A72" w14:textId="77777777" w:rsidTr="525FBE4E">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3C54C71" w14:textId="77777777"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A17B7C" w14:paraId="0693777E" w14:textId="77777777" w:rsidTr="525FBE4E">
        <w:trPr>
          <w:trHeight w:val="421"/>
        </w:trPr>
        <w:tc>
          <w:tcPr>
            <w:tcW w:w="9450" w:type="dxa"/>
            <w:shd w:val="clear" w:color="auto" w:fill="CAD8EC"/>
          </w:tcPr>
          <w:p w14:paraId="318C4978"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A17B7C" w14:paraId="2456E4A6" w14:textId="77777777" w:rsidTr="525FBE4E">
        <w:trPr>
          <w:trHeight w:val="1375"/>
        </w:trPr>
        <w:tc>
          <w:tcPr>
            <w:tcW w:w="9450" w:type="dxa"/>
            <w:shd w:val="clear" w:color="auto" w:fill="auto"/>
          </w:tcPr>
          <w:p w14:paraId="215E49BE" w14:textId="3BF1784A" w:rsidR="00A17B7C" w:rsidRPr="0025064D" w:rsidRDefault="525FBE4E" w:rsidP="525FBE4E">
            <w:pPr>
              <w:pBdr>
                <w:top w:val="nil"/>
                <w:left w:val="nil"/>
                <w:bottom w:val="nil"/>
                <w:right w:val="nil"/>
                <w:between w:val="nil"/>
              </w:pBdr>
              <w:tabs>
                <w:tab w:val="left" w:pos="281"/>
              </w:tabs>
              <w:spacing w:before="60" w:after="60"/>
              <w:rPr>
                <w:rFonts w:ascii="Calibri" w:eastAsia="Calibri" w:hAnsi="Calibri" w:cs="Calibri"/>
                <w:b/>
                <w:bCs/>
                <w:color w:val="000000"/>
                <w:sz w:val="20"/>
                <w:szCs w:val="20"/>
              </w:rPr>
            </w:pPr>
            <w:r w:rsidRPr="525FBE4E">
              <w:rPr>
                <w:rFonts w:ascii="Calibri" w:eastAsia="Calibri" w:hAnsi="Calibri" w:cs="Calibri"/>
                <w:color w:val="000000" w:themeColor="text1"/>
                <w:sz w:val="20"/>
                <w:szCs w:val="20"/>
              </w:rPr>
              <w:t>With the financial support of United Way King County,</w:t>
            </w:r>
            <w:r w:rsidRPr="525FBE4E">
              <w:rPr>
                <w:rFonts w:ascii="Calibri" w:eastAsia="Calibri" w:hAnsi="Calibri" w:cs="Calibri"/>
                <w:color w:val="000000" w:themeColor="text1"/>
                <w:sz w:val="19"/>
                <w:szCs w:val="19"/>
              </w:rPr>
              <w:t xml:space="preserve"> Mariela Barriga was promoted to Director of Student Success</w:t>
            </w:r>
            <w:r w:rsidRPr="525FBE4E">
              <w:rPr>
                <w:rFonts w:ascii="Calibri" w:eastAsia="Calibri" w:hAnsi="Calibri" w:cs="Calibri"/>
                <w:sz w:val="20"/>
                <w:szCs w:val="20"/>
              </w:rPr>
              <w:t xml:space="preserve"> </w:t>
            </w:r>
            <w:r w:rsidRPr="525FBE4E">
              <w:rPr>
                <w:rFonts w:ascii="Calibri" w:eastAsia="Calibri" w:hAnsi="Calibri" w:cs="Calibri"/>
                <w:color w:val="000000" w:themeColor="text1"/>
                <w:sz w:val="20"/>
                <w:szCs w:val="20"/>
              </w:rPr>
              <w:t xml:space="preserve">including the supervision of the UWKC AmeriCorps Members, and the funds include support for a Program Coordinator position. UWKC Bridge to Finish helps low-income students connect with services they need to stay in school and complete education. Students receive these supports through the Benefits Hub </w:t>
            </w:r>
            <w:r w:rsidRPr="525FBE4E">
              <w:rPr>
                <w:rFonts w:ascii="Calibri" w:eastAsia="Calibri" w:hAnsi="Calibri" w:cs="Calibri"/>
                <w:b/>
                <w:bCs/>
                <w:color w:val="000000" w:themeColor="text1"/>
                <w:sz w:val="20"/>
                <w:szCs w:val="20"/>
              </w:rPr>
              <w:t>(Core Theme 3 – Indicator 2.1; Core Theme 4 – Indicator 1.3).</w:t>
            </w:r>
          </w:p>
          <w:p w14:paraId="5DAB6C7B" w14:textId="77777777" w:rsidR="007E7941" w:rsidRPr="0025064D" w:rsidRDefault="007E7941" w:rsidP="007E7941">
            <w:pPr>
              <w:pBdr>
                <w:top w:val="nil"/>
                <w:left w:val="nil"/>
                <w:bottom w:val="nil"/>
                <w:right w:val="nil"/>
                <w:between w:val="nil"/>
              </w:pBdr>
              <w:tabs>
                <w:tab w:val="left" w:pos="281"/>
              </w:tabs>
              <w:spacing w:before="60" w:after="60"/>
              <w:rPr>
                <w:rFonts w:ascii="Calibri" w:eastAsia="Calibri" w:hAnsi="Calibri" w:cs="Calibri"/>
                <w:color w:val="000000"/>
                <w:sz w:val="20"/>
                <w:szCs w:val="20"/>
              </w:rPr>
            </w:pPr>
          </w:p>
          <w:p w14:paraId="689D4F41" w14:textId="13BA5CDC" w:rsidR="007E7941" w:rsidRPr="009B1E09" w:rsidRDefault="525FBE4E" w:rsidP="525FBE4E">
            <w:pPr>
              <w:pBdr>
                <w:top w:val="nil"/>
                <w:left w:val="nil"/>
                <w:bottom w:val="nil"/>
                <w:right w:val="nil"/>
                <w:between w:val="nil"/>
              </w:pBdr>
              <w:tabs>
                <w:tab w:val="left" w:pos="281"/>
              </w:tabs>
              <w:spacing w:before="60" w:after="60"/>
              <w:rPr>
                <w:rFonts w:ascii="Calibri" w:eastAsia="Calibri" w:hAnsi="Calibri" w:cs="Calibri"/>
                <w:bCs/>
                <w:color w:val="000000"/>
                <w:sz w:val="20"/>
                <w:szCs w:val="20"/>
              </w:rPr>
            </w:pPr>
            <w:r w:rsidRPr="525FBE4E">
              <w:rPr>
                <w:rFonts w:ascii="Calibri" w:eastAsia="Calibri" w:hAnsi="Calibri" w:cs="Calibri"/>
                <w:color w:val="000000" w:themeColor="text1"/>
                <w:sz w:val="20"/>
                <w:szCs w:val="20"/>
              </w:rPr>
              <w:t xml:space="preserve">Michelle McClendon was named 2019 – 2020 Employee of The Year which is well deserved. As our Re-Entry Navigator, Michelle is also an interim WISH Adviser; Housing Liaison and Adviser for JSSOC (Justice Scholars Society of Change) </w:t>
            </w:r>
            <w:r w:rsidR="009B1E09">
              <w:rPr>
                <w:rFonts w:ascii="Calibri" w:eastAsia="Calibri" w:hAnsi="Calibri" w:cs="Calibri"/>
                <w:color w:val="000000" w:themeColor="text1"/>
                <w:sz w:val="20"/>
                <w:szCs w:val="20"/>
              </w:rPr>
              <w:t xml:space="preserve">Current re-entry caseload is 15 </w:t>
            </w:r>
            <w:r w:rsidR="008D7C6E">
              <w:rPr>
                <w:rFonts w:ascii="Calibri" w:eastAsia="Calibri" w:hAnsi="Calibri" w:cs="Calibri"/>
                <w:color w:val="000000" w:themeColor="text1"/>
                <w:sz w:val="20"/>
                <w:szCs w:val="20"/>
              </w:rPr>
              <w:t>students and 2 expected in the fall</w:t>
            </w:r>
            <w:r w:rsidR="009B1E09">
              <w:rPr>
                <w:rFonts w:ascii="Calibri" w:eastAsia="Calibri" w:hAnsi="Calibri" w:cs="Calibri"/>
                <w:color w:val="000000" w:themeColor="text1"/>
                <w:sz w:val="20"/>
                <w:szCs w:val="20"/>
              </w:rPr>
              <w:t xml:space="preserve"> </w:t>
            </w:r>
            <w:r w:rsidRPr="525FBE4E">
              <w:rPr>
                <w:rFonts w:ascii="Calibri" w:eastAsia="Calibri" w:hAnsi="Calibri" w:cs="Calibri"/>
                <w:b/>
                <w:bCs/>
                <w:color w:val="000000" w:themeColor="text1"/>
                <w:sz w:val="20"/>
                <w:szCs w:val="20"/>
              </w:rPr>
              <w:t>(Core Theme 4 – Indicator 1.1 and 1.3).</w:t>
            </w:r>
            <w:r w:rsidR="009B1E09">
              <w:rPr>
                <w:rFonts w:ascii="Calibri" w:eastAsia="Calibri" w:hAnsi="Calibri" w:cs="Calibri"/>
                <w:b/>
                <w:bCs/>
                <w:color w:val="000000" w:themeColor="text1"/>
                <w:sz w:val="20"/>
                <w:szCs w:val="20"/>
              </w:rPr>
              <w:t xml:space="preserve"> </w:t>
            </w:r>
            <w:r w:rsidR="009B1E09">
              <w:rPr>
                <w:rFonts w:ascii="Calibri" w:eastAsia="Calibri" w:hAnsi="Calibri" w:cs="Calibri"/>
                <w:bCs/>
                <w:color w:val="000000" w:themeColor="text1"/>
                <w:sz w:val="20"/>
                <w:szCs w:val="20"/>
              </w:rPr>
              <w:t>Highline does not have an entry intake process/form where we could connect students.</w:t>
            </w:r>
          </w:p>
          <w:p w14:paraId="02EB378F" w14:textId="77777777" w:rsidR="00282776" w:rsidRPr="0025064D" w:rsidRDefault="00282776" w:rsidP="007E7941">
            <w:pPr>
              <w:pBdr>
                <w:top w:val="nil"/>
                <w:left w:val="nil"/>
                <w:bottom w:val="nil"/>
                <w:right w:val="nil"/>
                <w:between w:val="nil"/>
              </w:pBdr>
              <w:tabs>
                <w:tab w:val="left" w:pos="281"/>
              </w:tabs>
              <w:spacing w:before="60" w:after="60"/>
              <w:rPr>
                <w:rFonts w:ascii="Calibri" w:eastAsia="Calibri" w:hAnsi="Calibri" w:cs="Calibri"/>
                <w:b/>
                <w:color w:val="000000"/>
                <w:sz w:val="20"/>
                <w:szCs w:val="20"/>
              </w:rPr>
            </w:pPr>
          </w:p>
          <w:p w14:paraId="697FAC6C" w14:textId="4CED71C9" w:rsidR="00282776" w:rsidRPr="0025064D" w:rsidRDefault="525FBE4E" w:rsidP="525FBE4E">
            <w:pPr>
              <w:pBdr>
                <w:top w:val="nil"/>
                <w:left w:val="nil"/>
                <w:bottom w:val="nil"/>
                <w:right w:val="nil"/>
                <w:between w:val="nil"/>
              </w:pBdr>
              <w:tabs>
                <w:tab w:val="left" w:pos="281"/>
              </w:tabs>
              <w:spacing w:before="60" w:after="60"/>
              <w:rPr>
                <w:rFonts w:ascii="Calibri" w:eastAsia="Calibri" w:hAnsi="Calibri" w:cs="Calibri"/>
                <w:color w:val="000000"/>
                <w:sz w:val="20"/>
                <w:szCs w:val="20"/>
              </w:rPr>
            </w:pPr>
            <w:r w:rsidRPr="525FBE4E">
              <w:rPr>
                <w:rFonts w:ascii="Calibri" w:eastAsia="Calibri" w:hAnsi="Calibri" w:cs="Calibri"/>
                <w:color w:val="000000" w:themeColor="text1"/>
                <w:sz w:val="20"/>
                <w:szCs w:val="20"/>
              </w:rPr>
              <w:t xml:space="preserve">While in School Housing (WISH) is </w:t>
            </w:r>
            <w:proofErr w:type="spellStart"/>
            <w:r w:rsidRPr="525FBE4E">
              <w:rPr>
                <w:rFonts w:ascii="Calibri" w:eastAsia="Calibri" w:hAnsi="Calibri" w:cs="Calibri"/>
                <w:color w:val="000000" w:themeColor="text1"/>
                <w:sz w:val="20"/>
                <w:szCs w:val="20"/>
              </w:rPr>
              <w:t>Highline’s</w:t>
            </w:r>
            <w:proofErr w:type="spellEnd"/>
            <w:r w:rsidRPr="525FBE4E">
              <w:rPr>
                <w:rFonts w:ascii="Calibri" w:eastAsia="Calibri" w:hAnsi="Calibri" w:cs="Calibri"/>
                <w:color w:val="000000" w:themeColor="text1"/>
                <w:sz w:val="20"/>
                <w:szCs w:val="20"/>
              </w:rPr>
              <w:t xml:space="preserve"> pilot partnership with King County Housing Authority to house 40 homeless Highline students. To date, WISH has issued 28 vouchers with 19 students searching for housing and 9 formerly homeless students are now currently housed. In addition, the Benefits Hub </w:t>
            </w:r>
            <w:r w:rsidR="00A85780">
              <w:rPr>
                <w:rFonts w:ascii="Calibri" w:eastAsia="Calibri" w:hAnsi="Calibri" w:cs="Calibri"/>
                <w:color w:val="000000" w:themeColor="text1"/>
                <w:sz w:val="20"/>
                <w:szCs w:val="20"/>
              </w:rPr>
              <w:t>AmeriCorps members assisted 20</w:t>
            </w:r>
            <w:r w:rsidRPr="525FBE4E">
              <w:rPr>
                <w:rFonts w:ascii="Calibri" w:eastAsia="Calibri" w:hAnsi="Calibri" w:cs="Calibri"/>
                <w:color w:val="000000" w:themeColor="text1"/>
                <w:sz w:val="20"/>
                <w:szCs w:val="20"/>
              </w:rPr>
              <w:t xml:space="preserve"> students with rental support. This need increased greatly as many students faced sudden income loss halfway through spring quarter.</w:t>
            </w:r>
            <w:r w:rsidRPr="525FBE4E">
              <w:rPr>
                <w:rFonts w:ascii="Calibri" w:eastAsia="Calibri" w:hAnsi="Calibri" w:cs="Calibri"/>
                <w:b/>
                <w:bCs/>
                <w:color w:val="000000" w:themeColor="text1"/>
                <w:sz w:val="20"/>
                <w:szCs w:val="20"/>
              </w:rPr>
              <w:t xml:space="preserve"> (Core Theme 3 – Indicator 2.1 and 3.1).</w:t>
            </w:r>
          </w:p>
          <w:p w14:paraId="6A05A809" w14:textId="77777777" w:rsidR="00E5738A" w:rsidRPr="0025064D" w:rsidRDefault="00E5738A" w:rsidP="007E7941">
            <w:pPr>
              <w:pBdr>
                <w:top w:val="nil"/>
                <w:left w:val="nil"/>
                <w:bottom w:val="nil"/>
                <w:right w:val="nil"/>
                <w:between w:val="nil"/>
              </w:pBdr>
              <w:tabs>
                <w:tab w:val="left" w:pos="281"/>
              </w:tabs>
              <w:spacing w:before="60" w:after="60"/>
              <w:rPr>
                <w:rFonts w:ascii="Calibri" w:eastAsia="Calibri" w:hAnsi="Calibri" w:cs="Calibri"/>
                <w:b/>
                <w:color w:val="000000"/>
                <w:sz w:val="20"/>
                <w:szCs w:val="20"/>
              </w:rPr>
            </w:pPr>
          </w:p>
          <w:p w14:paraId="719ACBE2" w14:textId="3E0D2209" w:rsidR="00A17B7C" w:rsidRPr="00334362" w:rsidRDefault="00B75278" w:rsidP="525FBE4E">
            <w:pPr>
              <w:pBdr>
                <w:top w:val="nil"/>
                <w:left w:val="nil"/>
                <w:bottom w:val="nil"/>
                <w:right w:val="nil"/>
                <w:between w:val="nil"/>
              </w:pBdr>
              <w:tabs>
                <w:tab w:val="left" w:pos="281"/>
              </w:tabs>
              <w:spacing w:before="60" w:after="60"/>
              <w:rPr>
                <w:rFonts w:ascii="Calibri" w:eastAsia="Calibri" w:hAnsi="Calibri" w:cs="Calibri"/>
                <w:b/>
                <w:bCs/>
                <w:color w:val="000000" w:themeColor="text1"/>
                <w:sz w:val="22"/>
                <w:szCs w:val="22"/>
              </w:rPr>
            </w:pPr>
            <w:r>
              <w:rPr>
                <w:rFonts w:ascii="Calibri" w:eastAsia="Calibri" w:hAnsi="Calibri" w:cs="Calibri"/>
                <w:color w:val="000000" w:themeColor="text1"/>
                <w:sz w:val="20"/>
                <w:szCs w:val="20"/>
              </w:rPr>
              <w:t>Mariela coordinated two drive-</w:t>
            </w:r>
            <w:r w:rsidR="525FBE4E" w:rsidRPr="525FBE4E">
              <w:rPr>
                <w:rFonts w:ascii="Calibri" w:eastAsia="Calibri" w:hAnsi="Calibri" w:cs="Calibri"/>
                <w:color w:val="000000" w:themeColor="text1"/>
                <w:sz w:val="20"/>
                <w:szCs w:val="20"/>
              </w:rPr>
              <w:t xml:space="preserve">thru pop up pantry events in Spring quarter to adjust to the campus closure due to COVID-19 which resulted in 184 visits. In addition, Campus View residents received weekly grocery deliveries. </w:t>
            </w:r>
            <w:r w:rsidR="525FBE4E" w:rsidRPr="525FBE4E">
              <w:rPr>
                <w:rFonts w:ascii="Calibri" w:eastAsia="Calibri" w:hAnsi="Calibri" w:cs="Calibri"/>
                <w:b/>
                <w:bCs/>
                <w:color w:val="000000" w:themeColor="text1"/>
                <w:sz w:val="20"/>
                <w:szCs w:val="20"/>
              </w:rPr>
              <w:t>(Core Theme 3 – Indicator 2.1 and 3.1)</w:t>
            </w:r>
            <w:r w:rsidR="00D77B90">
              <w:rPr>
                <w:rFonts w:ascii="Calibri" w:eastAsia="Calibri" w:hAnsi="Calibri" w:cs="Calibri"/>
                <w:b/>
                <w:bCs/>
                <w:color w:val="000000" w:themeColor="text1"/>
                <w:sz w:val="20"/>
                <w:szCs w:val="20"/>
              </w:rPr>
              <w:t>.</w:t>
            </w:r>
          </w:p>
          <w:p w14:paraId="7DFE0EA7" w14:textId="4DE9751A" w:rsidR="00A17B7C" w:rsidRPr="00334362" w:rsidRDefault="00A17B7C" w:rsidP="525FBE4E">
            <w:pPr>
              <w:pBdr>
                <w:top w:val="nil"/>
                <w:left w:val="nil"/>
                <w:bottom w:val="nil"/>
                <w:right w:val="nil"/>
                <w:between w:val="nil"/>
              </w:pBdr>
              <w:tabs>
                <w:tab w:val="left" w:pos="281"/>
              </w:tabs>
              <w:spacing w:before="60" w:after="60"/>
              <w:rPr>
                <w:rFonts w:ascii="Calibri" w:eastAsia="Calibri" w:hAnsi="Calibri" w:cs="Calibri"/>
                <w:b/>
                <w:bCs/>
                <w:color w:val="000000" w:themeColor="text1"/>
                <w:sz w:val="20"/>
                <w:szCs w:val="20"/>
              </w:rPr>
            </w:pPr>
          </w:p>
          <w:p w14:paraId="1E564660" w14:textId="400A4A26" w:rsidR="00A17B7C" w:rsidRPr="006A4D59" w:rsidRDefault="525FBE4E" w:rsidP="525FBE4E">
            <w:pPr>
              <w:pBdr>
                <w:top w:val="nil"/>
                <w:left w:val="nil"/>
                <w:bottom w:val="nil"/>
                <w:right w:val="nil"/>
                <w:between w:val="nil"/>
              </w:pBdr>
              <w:tabs>
                <w:tab w:val="left" w:pos="281"/>
              </w:tabs>
              <w:spacing w:before="60" w:after="60"/>
              <w:rPr>
                <w:rFonts w:ascii="Calibri" w:eastAsia="Calibri" w:hAnsi="Calibri" w:cs="Calibri"/>
                <w:b/>
                <w:color w:val="000000"/>
                <w:sz w:val="20"/>
                <w:szCs w:val="20"/>
              </w:rPr>
            </w:pPr>
            <w:r w:rsidRPr="525FBE4E">
              <w:rPr>
                <w:rFonts w:ascii="Calibri" w:eastAsia="Calibri" w:hAnsi="Calibri" w:cs="Calibri"/>
                <w:color w:val="000000" w:themeColor="text1"/>
                <w:sz w:val="20"/>
                <w:szCs w:val="20"/>
              </w:rPr>
              <w:t>Mariela partnered with the Foundation to distribute $125,000 of emergency funds to students in need of critical financial supports to continue in school. Once campus closed, many students who submitted requests also received phone calls to connect them with other important resources t</w:t>
            </w:r>
            <w:r w:rsidR="006A4D59">
              <w:rPr>
                <w:rFonts w:ascii="Calibri" w:eastAsia="Calibri" w:hAnsi="Calibri" w:cs="Calibri"/>
                <w:color w:val="000000" w:themeColor="text1"/>
                <w:sz w:val="20"/>
                <w:szCs w:val="20"/>
              </w:rPr>
              <w:t xml:space="preserve">o support their financial needs </w:t>
            </w:r>
            <w:r w:rsidR="006A4D59" w:rsidRPr="525FBE4E">
              <w:rPr>
                <w:rFonts w:ascii="Calibri" w:eastAsia="Calibri" w:hAnsi="Calibri" w:cs="Calibri"/>
                <w:b/>
                <w:bCs/>
                <w:color w:val="000000" w:themeColor="text1"/>
                <w:sz w:val="20"/>
                <w:szCs w:val="20"/>
              </w:rPr>
              <w:t>(Core Theme 3 – Indicator 2.1</w:t>
            </w:r>
            <w:r w:rsidR="006A4D59">
              <w:rPr>
                <w:rFonts w:ascii="Calibri" w:eastAsia="Calibri" w:hAnsi="Calibri" w:cs="Calibri"/>
                <w:b/>
                <w:bCs/>
                <w:color w:val="000000" w:themeColor="text1"/>
                <w:sz w:val="20"/>
                <w:szCs w:val="20"/>
              </w:rPr>
              <w:t>).</w:t>
            </w:r>
          </w:p>
        </w:tc>
      </w:tr>
      <w:tr w:rsidR="00A17B7C" w14:paraId="36C13AE1" w14:textId="77777777" w:rsidTr="525FBE4E">
        <w:tc>
          <w:tcPr>
            <w:tcW w:w="9450" w:type="dxa"/>
            <w:shd w:val="clear" w:color="auto" w:fill="CAD8EC"/>
          </w:tcPr>
          <w:p w14:paraId="6993FA23" w14:textId="77777777" w:rsidR="00A17B7C" w:rsidRDefault="00775FA3">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A17B7C" w14:paraId="0183C038" w14:textId="77777777" w:rsidTr="525FBE4E">
        <w:trPr>
          <w:trHeight w:val="358"/>
        </w:trPr>
        <w:tc>
          <w:tcPr>
            <w:tcW w:w="9450" w:type="dxa"/>
            <w:shd w:val="clear" w:color="auto" w:fill="auto"/>
          </w:tcPr>
          <w:p w14:paraId="22F7653A" w14:textId="77777777" w:rsidR="00A17B7C" w:rsidRDefault="0096250A">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Strong internal and external partnerships. </w:t>
            </w:r>
          </w:p>
          <w:p w14:paraId="5A39BBE3" w14:textId="77777777" w:rsidR="00A17B7C" w:rsidRDefault="00A17B7C">
            <w:pPr>
              <w:tabs>
                <w:tab w:val="left" w:pos="8514"/>
              </w:tabs>
              <w:spacing w:before="60" w:after="60"/>
              <w:rPr>
                <w:rFonts w:ascii="Calibri" w:eastAsia="Calibri" w:hAnsi="Calibri" w:cs="Calibri"/>
                <w:sz w:val="22"/>
                <w:szCs w:val="22"/>
              </w:rPr>
            </w:pPr>
          </w:p>
        </w:tc>
      </w:tr>
      <w:tr w:rsidR="00A17B7C" w14:paraId="72826E8B" w14:textId="77777777" w:rsidTr="525FBE4E">
        <w:tc>
          <w:tcPr>
            <w:tcW w:w="9450" w:type="dxa"/>
            <w:shd w:val="clear" w:color="auto" w:fill="DBE5F1" w:themeFill="accent1" w:themeFillTint="33"/>
          </w:tcPr>
          <w:p w14:paraId="7EA4853A"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A17B7C" w14:paraId="1D631FDE" w14:textId="77777777" w:rsidTr="525FBE4E">
        <w:trPr>
          <w:trHeight w:val="142"/>
        </w:trPr>
        <w:tc>
          <w:tcPr>
            <w:tcW w:w="9450" w:type="dxa"/>
            <w:shd w:val="clear" w:color="auto" w:fill="auto"/>
          </w:tcPr>
          <w:p w14:paraId="286CC769" w14:textId="050A1FC6" w:rsidR="00A17B7C" w:rsidRDefault="003126CB">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Student Success has </w:t>
            </w:r>
            <w:r w:rsidR="00CC3D17">
              <w:rPr>
                <w:rFonts w:ascii="Calibri" w:eastAsia="Calibri" w:hAnsi="Calibri" w:cs="Calibri"/>
                <w:sz w:val="22"/>
                <w:szCs w:val="22"/>
              </w:rPr>
              <w:t xml:space="preserve">sustained </w:t>
            </w:r>
            <w:r>
              <w:rPr>
                <w:rFonts w:ascii="Calibri" w:eastAsia="Calibri" w:hAnsi="Calibri" w:cs="Calibri"/>
                <w:sz w:val="22"/>
                <w:szCs w:val="22"/>
              </w:rPr>
              <w:t xml:space="preserve">efforts </w:t>
            </w:r>
            <w:r w:rsidR="00CC3D17">
              <w:rPr>
                <w:rFonts w:ascii="Calibri" w:eastAsia="Calibri" w:hAnsi="Calibri" w:cs="Calibri"/>
                <w:sz w:val="22"/>
                <w:szCs w:val="22"/>
              </w:rPr>
              <w:t>with</w:t>
            </w:r>
            <w:r w:rsidR="00B71ACA">
              <w:rPr>
                <w:rFonts w:ascii="Calibri" w:eastAsia="Calibri" w:hAnsi="Calibri" w:cs="Calibri"/>
                <w:sz w:val="22"/>
                <w:szCs w:val="22"/>
              </w:rPr>
              <w:t xml:space="preserve"> current workforce grants and</w:t>
            </w:r>
            <w:r w:rsidR="00CC3D17">
              <w:rPr>
                <w:rFonts w:ascii="Calibri" w:eastAsia="Calibri" w:hAnsi="Calibri" w:cs="Calibri"/>
                <w:sz w:val="22"/>
                <w:szCs w:val="22"/>
              </w:rPr>
              <w:t xml:space="preserve"> no operational budget</w:t>
            </w:r>
            <w:r w:rsidR="00282776">
              <w:rPr>
                <w:rFonts w:ascii="Calibri" w:eastAsia="Calibri" w:hAnsi="Calibri" w:cs="Calibri"/>
                <w:sz w:val="22"/>
                <w:szCs w:val="22"/>
              </w:rPr>
              <w:t xml:space="preserve"> for</w:t>
            </w:r>
            <w:r w:rsidR="00B71ACA">
              <w:rPr>
                <w:rFonts w:ascii="Calibri" w:eastAsia="Calibri" w:hAnsi="Calibri" w:cs="Calibri"/>
                <w:sz w:val="22"/>
                <w:szCs w:val="22"/>
              </w:rPr>
              <w:t xml:space="preserve"> staff, programs and resources.</w:t>
            </w:r>
          </w:p>
          <w:p w14:paraId="41C8F396" w14:textId="77777777" w:rsidR="00A17B7C" w:rsidRDefault="00A17B7C">
            <w:pPr>
              <w:tabs>
                <w:tab w:val="left" w:pos="8514"/>
              </w:tabs>
              <w:spacing w:before="60" w:after="60"/>
              <w:rPr>
                <w:rFonts w:ascii="Calibri" w:eastAsia="Calibri" w:hAnsi="Calibri" w:cs="Calibri"/>
                <w:sz w:val="22"/>
                <w:szCs w:val="22"/>
              </w:rPr>
            </w:pPr>
          </w:p>
        </w:tc>
      </w:tr>
      <w:tr w:rsidR="00A17B7C" w14:paraId="453B40A4" w14:textId="77777777" w:rsidTr="525FBE4E">
        <w:tc>
          <w:tcPr>
            <w:tcW w:w="9450" w:type="dxa"/>
            <w:shd w:val="clear" w:color="auto" w:fill="DBE5F1" w:themeFill="accent1" w:themeFillTint="33"/>
          </w:tcPr>
          <w:p w14:paraId="3FDF988C" w14:textId="77777777"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A17B7C" w14:paraId="72A3D3EC" w14:textId="77777777" w:rsidTr="525FBE4E">
        <w:trPr>
          <w:trHeight w:val="313"/>
        </w:trPr>
        <w:tc>
          <w:tcPr>
            <w:tcW w:w="9450" w:type="dxa"/>
            <w:shd w:val="clear" w:color="auto" w:fill="auto"/>
          </w:tcPr>
          <w:p w14:paraId="44CAC8D6" w14:textId="5BADDBF9" w:rsidR="525FBE4E" w:rsidRDefault="525FBE4E" w:rsidP="525FBE4E">
            <w:pPr>
              <w:spacing w:before="60" w:line="259" w:lineRule="auto"/>
            </w:pPr>
            <w:r w:rsidRPr="525FBE4E">
              <w:rPr>
                <w:rFonts w:ascii="Calibri" w:eastAsia="Calibri" w:hAnsi="Calibri" w:cs="Calibri"/>
                <w:sz w:val="22"/>
                <w:szCs w:val="22"/>
              </w:rPr>
              <w:t>Becoming fully staffed.</w:t>
            </w:r>
          </w:p>
          <w:p w14:paraId="0E27B00A" w14:textId="77777777" w:rsidR="00A17B7C" w:rsidRDefault="00A17B7C">
            <w:pPr>
              <w:tabs>
                <w:tab w:val="left" w:pos="8514"/>
              </w:tabs>
              <w:spacing w:before="60"/>
              <w:rPr>
                <w:rFonts w:ascii="Calibri" w:eastAsia="Calibri" w:hAnsi="Calibri" w:cs="Calibri"/>
                <w:sz w:val="22"/>
                <w:szCs w:val="22"/>
              </w:rPr>
            </w:pPr>
          </w:p>
        </w:tc>
      </w:tr>
    </w:tbl>
    <w:p w14:paraId="60061E4C" w14:textId="77777777" w:rsidR="00A17B7C" w:rsidRDefault="00775FA3">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14:paraId="3CB8209C" w14:textId="77777777">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49975766" w14:textId="77777777"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A17B7C" w14:paraId="2373E9E6" w14:textId="77777777">
        <w:tc>
          <w:tcPr>
            <w:tcW w:w="9450" w:type="dxa"/>
            <w:shd w:val="clear" w:color="auto" w:fill="CAD8EC"/>
          </w:tcPr>
          <w:p w14:paraId="65D902E5" w14:textId="77777777" w:rsidR="00A17B7C" w:rsidRDefault="00775FA3">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14:paraId="44EAFD9C" w14:textId="77777777" w:rsidR="00A17B7C" w:rsidRDefault="00A17B7C">
            <w:pPr>
              <w:tabs>
                <w:tab w:val="left" w:pos="8514"/>
              </w:tabs>
              <w:spacing w:before="60" w:after="60"/>
              <w:rPr>
                <w:rFonts w:ascii="Calibri" w:eastAsia="Calibri" w:hAnsi="Calibri" w:cs="Calibri"/>
                <w:i/>
                <w:color w:val="000000"/>
                <w:sz w:val="20"/>
                <w:szCs w:val="20"/>
              </w:rPr>
            </w:pPr>
          </w:p>
          <w:p w14:paraId="75BBF096" w14:textId="77777777" w:rsidR="00A17B7C" w:rsidRDefault="00775FA3">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A17B7C" w14:paraId="4CBA272F" w14:textId="77777777">
        <w:tc>
          <w:tcPr>
            <w:tcW w:w="9450" w:type="dxa"/>
            <w:shd w:val="clear" w:color="auto" w:fill="auto"/>
          </w:tcPr>
          <w:p w14:paraId="112C864A" w14:textId="0084EF99" w:rsidR="002A38DD" w:rsidRPr="0030536F" w:rsidRDefault="002A38DD">
            <w:pPr>
              <w:spacing w:before="120"/>
              <w:rPr>
                <w:rFonts w:ascii="Calibri" w:eastAsia="Calibri" w:hAnsi="Calibri" w:cs="Calibri"/>
                <w:b/>
                <w:sz w:val="22"/>
                <w:szCs w:val="22"/>
                <w:u w:val="single"/>
              </w:rPr>
            </w:pPr>
            <w:r w:rsidRPr="0030536F">
              <w:rPr>
                <w:rFonts w:ascii="Calibri" w:eastAsia="Calibri" w:hAnsi="Calibri" w:cs="Calibri"/>
                <w:b/>
                <w:sz w:val="22"/>
                <w:szCs w:val="22"/>
                <w:u w:val="single"/>
              </w:rPr>
              <w:t>Goal: Strategically plan allowable functionalities of the Highline Community Pantry during campus closure. There were two successful drive-thru pop up pantries during spring quarter (Core Theme 1 – Indicator 2.2; Core Theme 2 – Indicator 2.1)</w:t>
            </w:r>
          </w:p>
          <w:p w14:paraId="6A31C63C" w14:textId="5521EA76"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14:paraId="52764CB7" w14:textId="77777777" w:rsidR="00A17B7C" w:rsidRDefault="00775FA3">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14:paraId="10FD2D69"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14:paraId="06786F06"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experience HC courses as challenging and engaging.</w:t>
            </w:r>
          </w:p>
          <w:p w14:paraId="6F2CCA6D"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14:paraId="4B94D5A5"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14:paraId="7A7BD29D" w14:textId="77777777" w:rsidR="00A17B7C" w:rsidRDefault="00775FA3">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14:paraId="4F982E98"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2.1 Faculty continually plan, assess, and improve teaching methods based on assessment of student learning.</w:t>
            </w:r>
          </w:p>
          <w:p w14:paraId="3B86DD47"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14:paraId="3DEEC669" w14:textId="77777777" w:rsidR="00A17B7C" w:rsidRDefault="00A17B7C">
            <w:pPr>
              <w:spacing w:before="60" w:after="60"/>
              <w:ind w:left="1271"/>
              <w:rPr>
                <w:rFonts w:ascii="Calibri" w:eastAsia="Calibri" w:hAnsi="Calibri" w:cs="Calibri"/>
                <w:sz w:val="22"/>
                <w:szCs w:val="22"/>
              </w:rPr>
            </w:pPr>
          </w:p>
          <w:p w14:paraId="24A9AD62" w14:textId="77777777" w:rsidR="00A17B7C" w:rsidRDefault="00775FA3">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Objective 3.  Students achieve their goals by progressing on educational pathways.</w:t>
            </w:r>
          </w:p>
          <w:p w14:paraId="5034A807"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3.1:  Advanced Basic Skills students will transition from non-credit to credit courses.</w:t>
            </w:r>
          </w:p>
          <w:p w14:paraId="78BEE8F5"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3.2:  Degree- or certificate- seeking students will progress through significant educational milestones.</w:t>
            </w:r>
          </w:p>
          <w:p w14:paraId="6C9A2FC5"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14:paraId="3656B9AB"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14:paraId="0DDB1F86" w14:textId="77777777">
        <w:tc>
          <w:tcPr>
            <w:tcW w:w="9450" w:type="dxa"/>
            <w:shd w:val="clear" w:color="auto" w:fill="auto"/>
          </w:tcPr>
          <w:p w14:paraId="2A0D8979" w14:textId="77777777"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14:paraId="325BDC79" w14:textId="77777777" w:rsidR="00A17B7C" w:rsidRDefault="00775FA3">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14:paraId="22032BD1" w14:textId="5F359495" w:rsidR="00A17B7C" w:rsidRDefault="003126CB">
            <w:pPr>
              <w:ind w:left="720"/>
              <w:rPr>
                <w:rFonts w:ascii="Calibri" w:eastAsia="Calibri" w:hAnsi="Calibri" w:cs="Calibri"/>
                <w:sz w:val="22"/>
                <w:szCs w:val="22"/>
              </w:rPr>
            </w:pPr>
            <w:r>
              <w:rPr>
                <w:rFonts w:ascii="Calibri" w:eastAsia="Calibri" w:hAnsi="Calibri" w:cs="Calibri"/>
                <w:sz w:val="22"/>
                <w:szCs w:val="22"/>
              </w:rPr>
              <w:t xml:space="preserve">Indicator 1.1: </w:t>
            </w:r>
            <w:r w:rsidR="00775FA3">
              <w:rPr>
                <w:rFonts w:ascii="Calibri" w:eastAsia="Calibri" w:hAnsi="Calibri" w:cs="Calibri"/>
                <w:sz w:val="22"/>
                <w:szCs w:val="22"/>
              </w:rPr>
              <w:t xml:space="preserve"> Diversity and globalism are integrated broadly across the curriculum.</w:t>
            </w:r>
          </w:p>
          <w:p w14:paraId="0AE0CF48"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14:paraId="0612747C"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14:paraId="45FB0818"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14:paraId="369BFCC5" w14:textId="77777777" w:rsidR="00A17B7C" w:rsidRDefault="00775FA3">
            <w:pPr>
              <w:spacing w:before="120"/>
              <w:rPr>
                <w:rFonts w:ascii="Calibri" w:eastAsia="Calibri" w:hAnsi="Calibri" w:cs="Calibri"/>
                <w:sz w:val="22"/>
                <w:szCs w:val="22"/>
              </w:rPr>
            </w:pPr>
            <w:r>
              <w:rPr>
                <w:rFonts w:ascii="Calibri" w:eastAsia="Calibri" w:hAnsi="Calibri" w:cs="Calibri"/>
                <w:sz w:val="22"/>
                <w:szCs w:val="22"/>
              </w:rPr>
              <w:t>Objective 2.  Student support and business services initiatives successfully meet the needs of students from diverse backgrounds.</w:t>
            </w:r>
          </w:p>
          <w:p w14:paraId="490C4C00"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lastRenderedPageBreak/>
              <w:t>Indicator 2.1:   Support and business services are effectively/ successfully delivered to diverse students.</w:t>
            </w:r>
          </w:p>
          <w:p w14:paraId="049F31CB"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14:paraId="4E4E0A8A" w14:textId="77777777" w:rsidR="00A17B7C" w:rsidRDefault="00775FA3">
            <w:pPr>
              <w:rPr>
                <w:rFonts w:ascii="Calibri" w:eastAsia="Calibri" w:hAnsi="Calibri" w:cs="Calibri"/>
                <w:sz w:val="22"/>
                <w:szCs w:val="22"/>
              </w:rPr>
            </w:pPr>
            <w:r>
              <w:rPr>
                <w:rFonts w:ascii="Calibri" w:eastAsia="Calibri" w:hAnsi="Calibri" w:cs="Calibri"/>
                <w:sz w:val="22"/>
                <w:szCs w:val="22"/>
              </w:rPr>
              <w:t>Objective 3.  Students from diverse backgrounds progress, achieve goals, and complete degree certificates.</w:t>
            </w:r>
          </w:p>
          <w:p w14:paraId="6D46B46A"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3.1:   Degree- and certificate-seeking students from diverse backgrounds achieve significant milestones at rates comparable to relevant comparison groups.</w:t>
            </w:r>
          </w:p>
          <w:p w14:paraId="3B98739C"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3.2: Students from diverse backgrounds complete degrees and certificates at rates comparable to relevant comparison groups.</w:t>
            </w:r>
          </w:p>
          <w:p w14:paraId="53128261"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14:paraId="686DC500" w14:textId="77777777" w:rsidR="00A17B7C" w:rsidRDefault="00775FA3">
            <w:pPr>
              <w:rPr>
                <w:rFonts w:ascii="Calibri" w:eastAsia="Calibri" w:hAnsi="Calibri" w:cs="Calibri"/>
                <w:sz w:val="22"/>
                <w:szCs w:val="22"/>
              </w:rPr>
            </w:pPr>
            <w:r>
              <w:rPr>
                <w:rFonts w:ascii="Calibri" w:eastAsia="Calibri" w:hAnsi="Calibri" w:cs="Calibri"/>
                <w:sz w:val="22"/>
                <w:szCs w:val="22"/>
              </w:rPr>
              <w:t xml:space="preserve">Objective 4.  The College engages in inclusive recruitment and hiring practices, and fosters a campus climate perceived as culturally competent and inclusive by all constituents. </w:t>
            </w:r>
          </w:p>
          <w:p w14:paraId="702C504C"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4.1:   Recruitment, hiring and retention of personnel are equitable and full-time employees show increasing diversity.</w:t>
            </w:r>
          </w:p>
          <w:p w14:paraId="18EADBBA"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4.2: Employees from diverse backgrounds experience the campus climate as positive.</w:t>
            </w:r>
          </w:p>
          <w:p w14:paraId="62486C05" w14:textId="77777777"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14:paraId="39A1828F" w14:textId="77777777">
        <w:trPr>
          <w:trHeight w:val="5263"/>
        </w:trPr>
        <w:tc>
          <w:tcPr>
            <w:tcW w:w="9450" w:type="dxa"/>
            <w:shd w:val="clear" w:color="auto" w:fill="auto"/>
          </w:tcPr>
          <w:p w14:paraId="44B3303A" w14:textId="6D4579BB" w:rsidR="00237EC5" w:rsidRPr="0030536F" w:rsidRDefault="00237EC5">
            <w:pPr>
              <w:spacing w:before="120"/>
              <w:rPr>
                <w:rFonts w:ascii="Calibri" w:eastAsia="Calibri" w:hAnsi="Calibri" w:cs="Calibri"/>
                <w:b/>
                <w:sz w:val="22"/>
                <w:szCs w:val="22"/>
                <w:u w:val="single"/>
              </w:rPr>
            </w:pPr>
            <w:r w:rsidRPr="0030536F">
              <w:rPr>
                <w:rFonts w:ascii="Calibri" w:eastAsia="Calibri" w:hAnsi="Calibri" w:cs="Calibri"/>
                <w:b/>
                <w:sz w:val="22"/>
                <w:szCs w:val="22"/>
                <w:u w:val="single"/>
              </w:rPr>
              <w:lastRenderedPageBreak/>
              <w:t xml:space="preserve">Goal: Revisit emergency funds current process to assess </w:t>
            </w:r>
            <w:r w:rsidR="00E176F5" w:rsidRPr="0030536F">
              <w:rPr>
                <w:rFonts w:ascii="Calibri" w:eastAsia="Calibri" w:hAnsi="Calibri" w:cs="Calibri"/>
                <w:b/>
                <w:sz w:val="22"/>
                <w:szCs w:val="22"/>
                <w:u w:val="single"/>
              </w:rPr>
              <w:t xml:space="preserve">the </w:t>
            </w:r>
            <w:r w:rsidRPr="0030536F">
              <w:rPr>
                <w:rFonts w:ascii="Calibri" w:eastAsia="Calibri" w:hAnsi="Calibri" w:cs="Calibri"/>
                <w:b/>
                <w:sz w:val="22"/>
                <w:szCs w:val="22"/>
                <w:u w:val="single"/>
              </w:rPr>
              <w:t xml:space="preserve">accessibility </w:t>
            </w:r>
            <w:r w:rsidR="00E176F5" w:rsidRPr="0030536F">
              <w:rPr>
                <w:rFonts w:ascii="Calibri" w:eastAsia="Calibri" w:hAnsi="Calibri" w:cs="Calibri"/>
                <w:b/>
                <w:sz w:val="22"/>
                <w:szCs w:val="22"/>
                <w:u w:val="single"/>
              </w:rPr>
              <w:t xml:space="preserve">of the emergency funds application </w:t>
            </w:r>
            <w:r w:rsidRPr="0030536F">
              <w:rPr>
                <w:rFonts w:ascii="Calibri" w:eastAsia="Calibri" w:hAnsi="Calibri" w:cs="Calibri"/>
                <w:b/>
                <w:sz w:val="22"/>
                <w:szCs w:val="22"/>
                <w:u w:val="single"/>
              </w:rPr>
              <w:t xml:space="preserve">and all stakeholders </w:t>
            </w:r>
            <w:r w:rsidR="00E176F5" w:rsidRPr="0030536F">
              <w:rPr>
                <w:rFonts w:ascii="Calibri" w:eastAsia="Calibri" w:hAnsi="Calibri" w:cs="Calibri"/>
                <w:b/>
                <w:sz w:val="22"/>
                <w:szCs w:val="22"/>
                <w:u w:val="single"/>
              </w:rPr>
              <w:t>are aware of the process (Core Theme 3 – Indicator 2.1)</w:t>
            </w:r>
          </w:p>
          <w:p w14:paraId="372C609A" w14:textId="32D2311F" w:rsidR="00A17B7C" w:rsidRDefault="00775FA3">
            <w:pPr>
              <w:spacing w:before="120"/>
              <w:rPr>
                <w:rFonts w:ascii="Calibri" w:eastAsia="Calibri" w:hAnsi="Calibri" w:cs="Calibri"/>
                <w:sz w:val="22"/>
                <w:szCs w:val="22"/>
              </w:rPr>
            </w:pPr>
            <w:r>
              <w:rPr>
                <w:rFonts w:ascii="Calibri" w:eastAsia="Calibri" w:hAnsi="Calibri" w:cs="Calibri"/>
                <w:b/>
                <w:sz w:val="22"/>
                <w:szCs w:val="22"/>
              </w:rPr>
              <w:t xml:space="preserve">Core theme 3: </w:t>
            </w:r>
            <w:r w:rsidRPr="0025064D">
              <w:rPr>
                <w:rFonts w:ascii="Calibri" w:eastAsia="Calibri" w:hAnsi="Calibri" w:cs="Calibri"/>
                <w:b/>
                <w:sz w:val="22"/>
                <w:szCs w:val="22"/>
              </w:rPr>
              <w:t>Build valuable relationships and establish a meaningful presence within Highline College’s communities</w:t>
            </w:r>
          </w:p>
          <w:p w14:paraId="24A49DBD" w14:textId="77777777" w:rsidR="00A17B7C" w:rsidRDefault="00775FA3">
            <w:pPr>
              <w:spacing w:before="120"/>
              <w:rPr>
                <w:rFonts w:ascii="Calibri" w:eastAsia="Calibri" w:hAnsi="Calibri" w:cs="Calibri"/>
                <w:sz w:val="22"/>
                <w:szCs w:val="22"/>
              </w:rPr>
            </w:pPr>
            <w:r>
              <w:rPr>
                <w:rFonts w:ascii="Calibri" w:eastAsia="Calibri" w:hAnsi="Calibri" w:cs="Calibri"/>
                <w:sz w:val="22"/>
                <w:szCs w:val="22"/>
              </w:rPr>
              <w:t xml:space="preserve">Objective 1. The College communicates effectively with its communities </w:t>
            </w:r>
          </w:p>
          <w:p w14:paraId="230E76EB"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 xml:space="preserve"> Indicator 1.1: The local community is familiar with the college.</w:t>
            </w:r>
          </w:p>
          <w:p w14:paraId="4101652C" w14:textId="77777777" w:rsidR="00A17B7C" w:rsidRDefault="00A17B7C">
            <w:pPr>
              <w:spacing w:before="120"/>
              <w:rPr>
                <w:rFonts w:ascii="Calibri" w:eastAsia="Calibri" w:hAnsi="Calibri" w:cs="Calibri"/>
                <w:sz w:val="22"/>
                <w:szCs w:val="22"/>
              </w:rPr>
            </w:pPr>
          </w:p>
          <w:p w14:paraId="56D941D1" w14:textId="77777777"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14:paraId="4516ED8A"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14:paraId="1803FD02"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14:paraId="4B99056E" w14:textId="77777777" w:rsidR="00A17B7C" w:rsidRDefault="00A17B7C">
            <w:pPr>
              <w:ind w:left="720"/>
              <w:rPr>
                <w:rFonts w:ascii="Calibri" w:eastAsia="Calibri" w:hAnsi="Calibri" w:cs="Calibri"/>
                <w:sz w:val="22"/>
                <w:szCs w:val="22"/>
              </w:rPr>
            </w:pPr>
          </w:p>
          <w:p w14:paraId="2C9EB99D" w14:textId="77777777" w:rsidR="00A17B7C" w:rsidRDefault="00775FA3">
            <w:pPr>
              <w:spacing w:before="120"/>
              <w:rPr>
                <w:rFonts w:ascii="Calibri" w:eastAsia="Calibri" w:hAnsi="Calibri" w:cs="Calibri"/>
                <w:sz w:val="22"/>
                <w:szCs w:val="22"/>
              </w:rPr>
            </w:pPr>
            <w:r>
              <w:rPr>
                <w:rFonts w:ascii="Calibri" w:eastAsia="Calibri" w:hAnsi="Calibri" w:cs="Calibri"/>
                <w:sz w:val="22"/>
                <w:szCs w:val="22"/>
              </w:rPr>
              <w:t>Objective 3.  Highline College contributes to meeting community needs.</w:t>
            </w:r>
          </w:p>
          <w:p w14:paraId="39803A93"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serves the ever-changing n</w:t>
            </w:r>
            <w:bookmarkStart w:id="1" w:name="_GoBack"/>
            <w:bookmarkEnd w:id="1"/>
            <w:r>
              <w:rPr>
                <w:rFonts w:ascii="Calibri" w:eastAsia="Calibri" w:hAnsi="Calibri" w:cs="Calibri"/>
                <w:sz w:val="22"/>
                <w:szCs w:val="22"/>
              </w:rPr>
              <w:t>eeds of our service district.</w:t>
            </w:r>
          </w:p>
          <w:p w14:paraId="5A865EEB"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3.2:  The college meets regional workforce development needs.</w:t>
            </w:r>
          </w:p>
          <w:p w14:paraId="1299C43A" w14:textId="77777777" w:rsidR="00A17B7C" w:rsidRDefault="00A17B7C">
            <w:pPr>
              <w:spacing w:before="120"/>
              <w:rPr>
                <w:rFonts w:ascii="Calibri" w:eastAsia="Calibri" w:hAnsi="Calibri" w:cs="Calibri"/>
                <w:sz w:val="22"/>
                <w:szCs w:val="22"/>
              </w:rPr>
            </w:pPr>
          </w:p>
        </w:tc>
      </w:tr>
      <w:tr w:rsidR="00A17B7C" w14:paraId="00387B52" w14:textId="77777777">
        <w:tc>
          <w:tcPr>
            <w:tcW w:w="9450" w:type="dxa"/>
            <w:shd w:val="clear" w:color="auto" w:fill="auto"/>
          </w:tcPr>
          <w:p w14:paraId="140F1648" w14:textId="7A1FA111" w:rsidR="00E1754E" w:rsidRPr="0030536F" w:rsidRDefault="00E1754E">
            <w:pPr>
              <w:spacing w:before="120"/>
              <w:rPr>
                <w:rFonts w:ascii="Calibri" w:eastAsia="Calibri" w:hAnsi="Calibri" w:cs="Calibri"/>
                <w:b/>
                <w:sz w:val="22"/>
                <w:szCs w:val="22"/>
                <w:u w:val="single"/>
              </w:rPr>
            </w:pPr>
            <w:r w:rsidRPr="0030536F">
              <w:rPr>
                <w:rFonts w:ascii="Calibri" w:eastAsia="Calibri" w:hAnsi="Calibri" w:cs="Calibri"/>
                <w:b/>
                <w:sz w:val="22"/>
                <w:szCs w:val="22"/>
                <w:u w:val="single"/>
              </w:rPr>
              <w:t>Goal: Work with Associate Dean, SS VP and AA VP to develop a</w:t>
            </w:r>
            <w:r w:rsidR="00370DE5" w:rsidRPr="0030536F">
              <w:rPr>
                <w:rFonts w:ascii="Calibri" w:eastAsia="Calibri" w:hAnsi="Calibri" w:cs="Calibri"/>
                <w:b/>
                <w:sz w:val="22"/>
                <w:szCs w:val="22"/>
                <w:u w:val="single"/>
              </w:rPr>
              <w:t>n operational</w:t>
            </w:r>
            <w:r w:rsidRPr="0030536F">
              <w:rPr>
                <w:rFonts w:ascii="Calibri" w:eastAsia="Calibri" w:hAnsi="Calibri" w:cs="Calibri"/>
                <w:b/>
                <w:sz w:val="22"/>
                <w:szCs w:val="22"/>
                <w:u w:val="single"/>
              </w:rPr>
              <w:t xml:space="preserve"> budget for WISH, Highline Community Pantry and Re-Entry Services</w:t>
            </w:r>
            <w:r w:rsidRPr="0030536F">
              <w:rPr>
                <w:rFonts w:ascii="Calibri" w:eastAsia="Calibri" w:hAnsi="Calibri" w:cs="Calibri"/>
                <w:sz w:val="22"/>
                <w:szCs w:val="22"/>
                <w:u w:val="single"/>
              </w:rPr>
              <w:t xml:space="preserve"> </w:t>
            </w:r>
            <w:r w:rsidRPr="0030536F">
              <w:rPr>
                <w:rFonts w:ascii="Calibri" w:eastAsia="Calibri" w:hAnsi="Calibri" w:cs="Calibri"/>
                <w:b/>
                <w:sz w:val="22"/>
                <w:szCs w:val="22"/>
                <w:u w:val="single"/>
              </w:rPr>
              <w:t>(Core Theme 4 – Indicator 2.1 and 2.3</w:t>
            </w:r>
            <w:r w:rsidR="0030536F" w:rsidRPr="0030536F">
              <w:rPr>
                <w:rFonts w:ascii="Calibri" w:eastAsia="Calibri" w:hAnsi="Calibri" w:cs="Calibri"/>
                <w:b/>
                <w:sz w:val="22"/>
                <w:szCs w:val="22"/>
                <w:u w:val="single"/>
              </w:rPr>
              <w:t>)</w:t>
            </w:r>
          </w:p>
          <w:p w14:paraId="07A863A9" w14:textId="77777777" w:rsidR="00A17B7C" w:rsidRDefault="00775FA3">
            <w:pPr>
              <w:spacing w:before="120"/>
              <w:rPr>
                <w:rFonts w:ascii="Calibri" w:eastAsia="Calibri" w:hAnsi="Calibri" w:cs="Calibri"/>
                <w:sz w:val="22"/>
                <w:szCs w:val="22"/>
              </w:rPr>
            </w:pPr>
            <w:r>
              <w:rPr>
                <w:rFonts w:ascii="Calibri" w:eastAsia="Calibri" w:hAnsi="Calibri" w:cs="Calibri"/>
                <w:b/>
                <w:sz w:val="22"/>
                <w:szCs w:val="22"/>
              </w:rPr>
              <w:t xml:space="preserve">Core theme 4: </w:t>
            </w:r>
            <w:r w:rsidRPr="0025064D">
              <w:rPr>
                <w:rFonts w:ascii="Calibri" w:eastAsia="Calibri" w:hAnsi="Calibri" w:cs="Calibri"/>
                <w:b/>
                <w:sz w:val="22"/>
                <w:szCs w:val="22"/>
              </w:rPr>
              <w:t>Model sustainability in human resources, operations, and teaching and learning</w:t>
            </w:r>
            <w:r>
              <w:rPr>
                <w:rFonts w:ascii="Calibri" w:eastAsia="Calibri" w:hAnsi="Calibri" w:cs="Calibri"/>
                <w:sz w:val="22"/>
                <w:szCs w:val="22"/>
              </w:rPr>
              <w:t xml:space="preserve">  </w:t>
            </w:r>
          </w:p>
          <w:p w14:paraId="4B1B356A" w14:textId="77777777"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1. The College recruits, retains, and develops a highly qualified workforce.</w:t>
            </w:r>
          </w:p>
          <w:p w14:paraId="4F1D1EB8"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1.1 Staff and faculty actively pursue continuing professional development opportunities.</w:t>
            </w:r>
          </w:p>
          <w:p w14:paraId="3E5F92E0"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1.2 Current employees indicate satisfaction with working environment and campus climate.</w:t>
            </w:r>
          </w:p>
          <w:p w14:paraId="6B812673"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1.3 Employees are retained by the college.</w:t>
            </w:r>
          </w:p>
          <w:p w14:paraId="4DDBEF00" w14:textId="77777777" w:rsidR="00A17B7C" w:rsidRDefault="00A17B7C">
            <w:pPr>
              <w:ind w:left="720"/>
              <w:rPr>
                <w:rFonts w:ascii="Calibri" w:eastAsia="Calibri" w:hAnsi="Calibri" w:cs="Calibri"/>
                <w:sz w:val="22"/>
                <w:szCs w:val="22"/>
              </w:rPr>
            </w:pPr>
          </w:p>
          <w:p w14:paraId="3DD62351" w14:textId="77777777" w:rsidR="00A17B7C" w:rsidRDefault="00775FA3">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14:paraId="53F30B51"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maintains sufficient financial resources to both maintain programs and remain strategic in times of financial downturn.</w:t>
            </w:r>
          </w:p>
          <w:p w14:paraId="6C177BEF"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2.2: The college maintains strong internal controls over assets and ensures compliance with college and state procedures.</w:t>
            </w:r>
          </w:p>
          <w:p w14:paraId="7926F1B8"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14:paraId="3461D779" w14:textId="77777777" w:rsidR="00A17B7C" w:rsidRDefault="00A17B7C">
            <w:pPr>
              <w:ind w:left="720"/>
              <w:rPr>
                <w:rFonts w:ascii="Calibri" w:eastAsia="Calibri" w:hAnsi="Calibri" w:cs="Calibri"/>
                <w:sz w:val="22"/>
                <w:szCs w:val="22"/>
              </w:rPr>
            </w:pPr>
          </w:p>
          <w:p w14:paraId="213EF6CF" w14:textId="77777777" w:rsidR="00A17B7C" w:rsidRDefault="00775FA3">
            <w:pPr>
              <w:rPr>
                <w:rFonts w:ascii="Calibri" w:eastAsia="Calibri" w:hAnsi="Calibri" w:cs="Calibri"/>
                <w:sz w:val="22"/>
                <w:szCs w:val="22"/>
              </w:rPr>
            </w:pPr>
            <w:r>
              <w:rPr>
                <w:rFonts w:ascii="Calibri" w:eastAsia="Calibri" w:hAnsi="Calibri" w:cs="Calibri"/>
                <w:sz w:val="22"/>
                <w:szCs w:val="22"/>
              </w:rPr>
              <w:t>Objective 3. The College demonstrates stewardship of environmental resources.</w:t>
            </w:r>
          </w:p>
          <w:p w14:paraId="1E09A640" w14:textId="77777777"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encourages awareness and use of ‘green’ practices in working environments.</w:t>
            </w:r>
          </w:p>
          <w:p w14:paraId="3CF2D8B6" w14:textId="77777777" w:rsidR="00A17B7C" w:rsidRDefault="00A17B7C">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A17B7C" w14:paraId="0FB78278" w14:textId="77777777">
        <w:tc>
          <w:tcPr>
            <w:tcW w:w="9450" w:type="dxa"/>
            <w:shd w:val="clear" w:color="auto" w:fill="auto"/>
          </w:tcPr>
          <w:p w14:paraId="1FC39945" w14:textId="77777777" w:rsidR="00A17B7C" w:rsidRDefault="00A17B7C">
            <w:pPr>
              <w:spacing w:before="120"/>
              <w:rPr>
                <w:rFonts w:ascii="Calibri" w:eastAsia="Calibri" w:hAnsi="Calibri" w:cs="Calibri"/>
                <w:b/>
                <w:sz w:val="22"/>
                <w:szCs w:val="22"/>
              </w:rPr>
            </w:pPr>
          </w:p>
        </w:tc>
      </w:tr>
    </w:tbl>
    <w:p w14:paraId="0562CB0E" w14:textId="77777777" w:rsidR="00A17B7C" w:rsidRDefault="00A17B7C">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A17B7C" w14:paraId="7CC5614D" w14:textId="77777777">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16F6F78C" w14:textId="77777777"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A17B7C" w14:paraId="34CE0A41" w14:textId="77777777">
        <w:trPr>
          <w:trHeight w:val="421"/>
        </w:trPr>
        <w:tc>
          <w:tcPr>
            <w:tcW w:w="9468" w:type="dxa"/>
            <w:shd w:val="clear" w:color="auto" w:fill="auto"/>
          </w:tcPr>
          <w:p w14:paraId="62EBF3C5" w14:textId="77777777" w:rsidR="00A17B7C" w:rsidRDefault="00A17B7C">
            <w:pPr>
              <w:tabs>
                <w:tab w:val="left" w:pos="8514"/>
              </w:tabs>
              <w:spacing w:before="60" w:after="60"/>
              <w:rPr>
                <w:rFonts w:ascii="Calibri" w:eastAsia="Calibri" w:hAnsi="Calibri" w:cs="Calibri"/>
                <w:sz w:val="22"/>
                <w:szCs w:val="22"/>
              </w:rPr>
            </w:pPr>
          </w:p>
          <w:p w14:paraId="6D98A12B" w14:textId="77777777" w:rsidR="00A17B7C" w:rsidRDefault="00A17B7C">
            <w:pPr>
              <w:tabs>
                <w:tab w:val="left" w:pos="8514"/>
              </w:tabs>
              <w:spacing w:before="60" w:after="60"/>
              <w:rPr>
                <w:rFonts w:ascii="Calibri" w:eastAsia="Calibri" w:hAnsi="Calibri" w:cs="Calibri"/>
                <w:sz w:val="22"/>
                <w:szCs w:val="22"/>
              </w:rPr>
            </w:pPr>
          </w:p>
          <w:p w14:paraId="2946DB82" w14:textId="77777777" w:rsidR="00A17B7C" w:rsidRDefault="00A17B7C">
            <w:pPr>
              <w:tabs>
                <w:tab w:val="left" w:pos="8514"/>
              </w:tabs>
              <w:spacing w:before="60" w:after="60"/>
              <w:rPr>
                <w:rFonts w:ascii="Calibri" w:eastAsia="Calibri" w:hAnsi="Calibri" w:cs="Calibri"/>
                <w:sz w:val="22"/>
                <w:szCs w:val="22"/>
              </w:rPr>
            </w:pPr>
          </w:p>
          <w:p w14:paraId="5997CC1D" w14:textId="77777777" w:rsidR="00A17B7C" w:rsidRDefault="00A17B7C">
            <w:pPr>
              <w:tabs>
                <w:tab w:val="left" w:pos="8514"/>
              </w:tabs>
              <w:spacing w:before="60" w:after="60"/>
              <w:rPr>
                <w:rFonts w:ascii="Calibri" w:eastAsia="Calibri" w:hAnsi="Calibri" w:cs="Calibri"/>
                <w:sz w:val="22"/>
                <w:szCs w:val="22"/>
              </w:rPr>
            </w:pPr>
          </w:p>
          <w:p w14:paraId="110FFD37" w14:textId="77777777" w:rsidR="00A17B7C" w:rsidRDefault="00A17B7C">
            <w:pPr>
              <w:tabs>
                <w:tab w:val="left" w:pos="8514"/>
              </w:tabs>
              <w:spacing w:before="60" w:after="60"/>
              <w:rPr>
                <w:rFonts w:ascii="Calibri" w:eastAsia="Calibri" w:hAnsi="Calibri" w:cs="Calibri"/>
                <w:sz w:val="22"/>
                <w:szCs w:val="22"/>
              </w:rPr>
            </w:pPr>
          </w:p>
        </w:tc>
      </w:tr>
    </w:tbl>
    <w:p w14:paraId="6B699379" w14:textId="77777777" w:rsidR="00A17B7C" w:rsidRDefault="00A17B7C"/>
    <w:sectPr w:rsidR="00A17B7C">
      <w:footerReference w:type="default" r:id="rId6"/>
      <w:headerReference w:type="first" r:id="rId7"/>
      <w:footerReference w:type="first" r:id="rId8"/>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99202" w14:textId="77777777" w:rsidR="008C665C" w:rsidRDefault="008C665C">
      <w:r>
        <w:separator/>
      </w:r>
    </w:p>
  </w:endnote>
  <w:endnote w:type="continuationSeparator" w:id="0">
    <w:p w14:paraId="53ADF72C" w14:textId="77777777" w:rsidR="008C665C" w:rsidRDefault="008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6AA6" w14:textId="5E18A04C" w:rsidR="00A17B7C" w:rsidRDefault="00775FA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0536F">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p w14:paraId="3FE9F23F" w14:textId="77777777" w:rsidR="00A17B7C" w:rsidRDefault="00A17B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9ED" w14:textId="77777777" w:rsidR="00A17B7C" w:rsidRDefault="00775FA3">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D64D" w14:textId="77777777" w:rsidR="008C665C" w:rsidRDefault="008C665C">
      <w:r>
        <w:separator/>
      </w:r>
    </w:p>
  </w:footnote>
  <w:footnote w:type="continuationSeparator" w:id="0">
    <w:p w14:paraId="17738623" w14:textId="77777777" w:rsidR="008C665C" w:rsidRDefault="008C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E634" w14:textId="77777777" w:rsidR="00A17B7C" w:rsidRDefault="00775FA3">
    <w:pPr>
      <w:pBdr>
        <w:top w:val="nil"/>
        <w:left w:val="nil"/>
        <w:bottom w:val="nil"/>
        <w:right w:val="nil"/>
        <w:between w:val="nil"/>
      </w:pBdr>
      <w:tabs>
        <w:tab w:val="center" w:pos="4680"/>
        <w:tab w:val="right" w:pos="9360"/>
      </w:tabs>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C"/>
    <w:rsid w:val="00237EC5"/>
    <w:rsid w:val="0025064D"/>
    <w:rsid w:val="00282776"/>
    <w:rsid w:val="002A38DD"/>
    <w:rsid w:val="0030536F"/>
    <w:rsid w:val="003126CB"/>
    <w:rsid w:val="00334362"/>
    <w:rsid w:val="00370DE5"/>
    <w:rsid w:val="005115CA"/>
    <w:rsid w:val="00515AEC"/>
    <w:rsid w:val="005C66C9"/>
    <w:rsid w:val="006A4D59"/>
    <w:rsid w:val="006A7C12"/>
    <w:rsid w:val="007564B2"/>
    <w:rsid w:val="00775FA3"/>
    <w:rsid w:val="007E7941"/>
    <w:rsid w:val="008B2630"/>
    <w:rsid w:val="008C665C"/>
    <w:rsid w:val="008D7C6E"/>
    <w:rsid w:val="0096250A"/>
    <w:rsid w:val="009B1E09"/>
    <w:rsid w:val="00A17B7C"/>
    <w:rsid w:val="00A85780"/>
    <w:rsid w:val="00AF2F32"/>
    <w:rsid w:val="00B71ACA"/>
    <w:rsid w:val="00B75278"/>
    <w:rsid w:val="00C6516D"/>
    <w:rsid w:val="00CC3D17"/>
    <w:rsid w:val="00D77B90"/>
    <w:rsid w:val="00E1754E"/>
    <w:rsid w:val="00E176F5"/>
    <w:rsid w:val="00E5738A"/>
    <w:rsid w:val="00E64E31"/>
    <w:rsid w:val="00F33F49"/>
    <w:rsid w:val="525FB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E306"/>
  <w15:docId w15:val="{62DB2335-E7EB-455C-A67A-7102FC05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Saechao, Ay</dc:creator>
  <cp:lastModifiedBy>Allen, Loyal</cp:lastModifiedBy>
  <cp:revision>15</cp:revision>
  <dcterms:created xsi:type="dcterms:W3CDTF">2020-07-30T19:45:00Z</dcterms:created>
  <dcterms:modified xsi:type="dcterms:W3CDTF">2020-07-30T22:22:00Z</dcterms:modified>
</cp:coreProperties>
</file>