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9BBE5" w14:textId="77777777" w:rsidR="0055698B" w:rsidRDefault="0055698B">
      <w:pPr>
        <w:spacing w:line="36" w:lineRule="auto"/>
        <w:rPr>
          <w:b/>
          <w:sz w:val="46"/>
          <w:szCs w:val="46"/>
        </w:rPr>
      </w:pPr>
    </w:p>
    <w:p w14:paraId="493A08F2" w14:textId="77777777" w:rsidR="0055698B" w:rsidRDefault="00000000">
      <w:pPr>
        <w:spacing w:line="36" w:lineRule="auto"/>
        <w:rPr>
          <w:b/>
          <w:sz w:val="46"/>
          <w:szCs w:val="46"/>
        </w:rPr>
      </w:pPr>
      <w:r>
        <w:rPr>
          <w:b/>
          <w:sz w:val="46"/>
          <w:szCs w:val="46"/>
        </w:rPr>
        <w:t xml:space="preserve">   </w:t>
      </w:r>
    </w:p>
    <w:p w14:paraId="52761410" w14:textId="77777777" w:rsidR="0055698B" w:rsidRDefault="00000000">
      <w:pPr>
        <w:widowControl w:val="0"/>
        <w:tabs>
          <w:tab w:val="left" w:pos="2160"/>
        </w:tabs>
        <w:spacing w:line="240" w:lineRule="auto"/>
        <w:rPr>
          <w:b/>
          <w:sz w:val="46"/>
          <w:szCs w:val="46"/>
        </w:rPr>
      </w:pPr>
      <w:r>
        <w:rPr>
          <w:b/>
          <w:noProof/>
          <w:sz w:val="44"/>
          <w:szCs w:val="44"/>
        </w:rPr>
        <w:drawing>
          <wp:inline distT="0" distB="0" distL="0" distR="0" wp14:anchorId="3648B450" wp14:editId="1E3A222D">
            <wp:extent cx="1699513" cy="558412"/>
            <wp:effectExtent l="0" t="0" r="0" b="0"/>
            <wp:docPr id="1" name="image1.png" descr="Highline College logo"/>
            <wp:cNvGraphicFramePr/>
            <a:graphic xmlns:a="http://schemas.openxmlformats.org/drawingml/2006/main">
              <a:graphicData uri="http://schemas.openxmlformats.org/drawingml/2006/picture">
                <pic:pic xmlns:pic="http://schemas.openxmlformats.org/drawingml/2006/picture">
                  <pic:nvPicPr>
                    <pic:cNvPr id="0" name="image1.png" descr="Highline College logo"/>
                    <pic:cNvPicPr preferRelativeResize="0"/>
                  </pic:nvPicPr>
                  <pic:blipFill>
                    <a:blip r:embed="rId4"/>
                    <a:srcRect/>
                    <a:stretch>
                      <a:fillRect/>
                    </a:stretch>
                  </pic:blipFill>
                  <pic:spPr>
                    <a:xfrm>
                      <a:off x="0" y="0"/>
                      <a:ext cx="1699513" cy="558412"/>
                    </a:xfrm>
                    <a:prstGeom prst="rect">
                      <a:avLst/>
                    </a:prstGeom>
                    <a:ln/>
                  </pic:spPr>
                </pic:pic>
              </a:graphicData>
            </a:graphic>
          </wp:inline>
        </w:drawing>
      </w:r>
    </w:p>
    <w:p w14:paraId="16EC9616" w14:textId="77777777" w:rsidR="0055698B" w:rsidRDefault="0055698B">
      <w:pPr>
        <w:spacing w:line="36" w:lineRule="auto"/>
        <w:rPr>
          <w:b/>
          <w:sz w:val="46"/>
          <w:szCs w:val="46"/>
        </w:rPr>
      </w:pPr>
    </w:p>
    <w:p w14:paraId="0D468F87" w14:textId="77777777" w:rsidR="0055698B" w:rsidRDefault="0055698B">
      <w:pPr>
        <w:spacing w:line="36" w:lineRule="auto"/>
        <w:rPr>
          <w:b/>
          <w:sz w:val="46"/>
          <w:szCs w:val="46"/>
        </w:rPr>
      </w:pPr>
    </w:p>
    <w:p w14:paraId="66FCF719" w14:textId="77777777" w:rsidR="0055698B" w:rsidRDefault="0055698B">
      <w:pPr>
        <w:spacing w:line="36" w:lineRule="auto"/>
        <w:jc w:val="right"/>
        <w:rPr>
          <w:b/>
          <w:sz w:val="46"/>
          <w:szCs w:val="46"/>
        </w:rPr>
      </w:pPr>
    </w:p>
    <w:p w14:paraId="11A057BF" w14:textId="77777777" w:rsidR="0055698B" w:rsidRDefault="00000000">
      <w:pPr>
        <w:spacing w:line="36" w:lineRule="auto"/>
        <w:jc w:val="right"/>
        <w:rPr>
          <w:b/>
          <w:sz w:val="46"/>
          <w:szCs w:val="46"/>
        </w:rPr>
      </w:pPr>
      <w:r>
        <w:rPr>
          <w:b/>
          <w:sz w:val="46"/>
          <w:szCs w:val="46"/>
        </w:rPr>
        <w:t xml:space="preserve">                                         MEDIA RELEASE</w:t>
      </w:r>
    </w:p>
    <w:p w14:paraId="4F52EFCF" w14:textId="77777777" w:rsidR="0055698B" w:rsidRDefault="00AD6326">
      <w:pPr>
        <w:spacing w:line="36" w:lineRule="auto"/>
        <w:jc w:val="right"/>
        <w:rPr>
          <w:b/>
          <w:sz w:val="46"/>
          <w:szCs w:val="46"/>
        </w:rPr>
      </w:pPr>
      <w:r>
        <w:rPr>
          <w:noProof/>
        </w:rPr>
        <w:pict w14:anchorId="373DEC45">
          <v:rect id="_x0000_i1025" alt="" style="width:468pt;height:.05pt;mso-width-percent:0;mso-height-percent:0;mso-width-percent:0;mso-height-percent:0" o:hralign="center" o:hrstd="t" o:hr="t" fillcolor="#a0a0a0" stroked="f"/>
        </w:pict>
      </w:r>
    </w:p>
    <w:p w14:paraId="3BC6C598" w14:textId="77777777" w:rsidR="0055698B" w:rsidRDefault="0055698B">
      <w:pPr>
        <w:spacing w:line="240" w:lineRule="auto"/>
        <w:rPr>
          <w:b/>
          <w:sz w:val="44"/>
          <w:szCs w:val="44"/>
        </w:rPr>
      </w:pPr>
    </w:p>
    <w:p w14:paraId="5397398D" w14:textId="77777777" w:rsidR="0055698B" w:rsidRDefault="00000000">
      <w:pPr>
        <w:spacing w:line="240" w:lineRule="auto"/>
        <w:rPr>
          <w:rFonts w:ascii="Times New Roman" w:eastAsia="Times New Roman" w:hAnsi="Times New Roman" w:cs="Times New Roman"/>
          <w:sz w:val="24"/>
          <w:szCs w:val="24"/>
        </w:rPr>
      </w:pPr>
      <w:r>
        <w:rPr>
          <w:b/>
          <w:sz w:val="24"/>
          <w:szCs w:val="24"/>
        </w:rPr>
        <w:t>FOR RELEASE: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Immediately</w:t>
      </w:r>
    </w:p>
    <w:p w14:paraId="6B87AE30" w14:textId="77777777" w:rsidR="0055698B" w:rsidRDefault="00000000">
      <w:pPr>
        <w:spacing w:line="240" w:lineRule="auto"/>
        <w:rPr>
          <w:rFonts w:ascii="Times New Roman" w:eastAsia="Times New Roman" w:hAnsi="Times New Roman" w:cs="Times New Roman"/>
          <w:sz w:val="24"/>
          <w:szCs w:val="24"/>
        </w:rPr>
      </w:pPr>
      <w:r>
        <w:rPr>
          <w:b/>
          <w:sz w:val="24"/>
          <w:szCs w:val="24"/>
        </w:rPr>
        <w:t>DATE: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Feb 26, 2025</w:t>
      </w:r>
    </w:p>
    <w:p w14:paraId="4F324AB8" w14:textId="77777777" w:rsidR="0055698B" w:rsidRDefault="00000000">
      <w:pPr>
        <w:spacing w:line="240" w:lineRule="auto"/>
        <w:rPr>
          <w:rFonts w:ascii="Times New Roman" w:eastAsia="Times New Roman" w:hAnsi="Times New Roman" w:cs="Times New Roman"/>
          <w:color w:val="1155CC"/>
          <w:sz w:val="24"/>
          <w:szCs w:val="24"/>
        </w:rPr>
      </w:pPr>
      <w:r>
        <w:rPr>
          <w:b/>
          <w:sz w:val="24"/>
          <w:szCs w:val="24"/>
        </w:rPr>
        <w:t>CONTACT: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Jess Underwood: (206) 592-3393, </w:t>
      </w:r>
      <w:hyperlink r:id="rId5">
        <w:r>
          <w:rPr>
            <w:rFonts w:ascii="Times New Roman" w:eastAsia="Times New Roman" w:hAnsi="Times New Roman" w:cs="Times New Roman"/>
            <w:color w:val="1155CC"/>
            <w:sz w:val="24"/>
            <w:szCs w:val="24"/>
            <w:u w:val="single"/>
          </w:rPr>
          <w:t>junderwood@highline.edu</w:t>
        </w:r>
      </w:hyperlink>
    </w:p>
    <w:p w14:paraId="5769423E" w14:textId="77777777" w:rsidR="0055698B" w:rsidRDefault="0055698B">
      <w:pPr>
        <w:spacing w:line="240" w:lineRule="auto"/>
        <w:rPr>
          <w:rFonts w:ascii="Times New Roman" w:eastAsia="Times New Roman" w:hAnsi="Times New Roman" w:cs="Times New Roman"/>
          <w:color w:val="1155CC"/>
          <w:sz w:val="24"/>
          <w:szCs w:val="24"/>
        </w:rPr>
      </w:pPr>
    </w:p>
    <w:p w14:paraId="7C1F36B6" w14:textId="77777777" w:rsidR="0055698B" w:rsidRDefault="0055698B">
      <w:pPr>
        <w:spacing w:after="160" w:line="256" w:lineRule="auto"/>
        <w:jc w:val="center"/>
        <w:rPr>
          <w:b/>
          <w:color w:val="242424"/>
          <w:sz w:val="24"/>
          <w:szCs w:val="24"/>
          <w:highlight w:val="yellow"/>
        </w:rPr>
      </w:pPr>
    </w:p>
    <w:p w14:paraId="5482DD6D" w14:textId="77777777" w:rsidR="0055698B" w:rsidRDefault="00000000">
      <w:pPr>
        <w:spacing w:after="160" w:line="256" w:lineRule="auto"/>
        <w:rPr>
          <w:b/>
          <w:color w:val="242424"/>
          <w:sz w:val="24"/>
          <w:szCs w:val="24"/>
        </w:rPr>
      </w:pPr>
      <w:r>
        <w:rPr>
          <w:sz w:val="24"/>
          <w:szCs w:val="24"/>
        </w:rPr>
        <w:t>Headline:</w:t>
      </w:r>
      <w:r>
        <w:rPr>
          <w:b/>
          <w:sz w:val="24"/>
          <w:szCs w:val="24"/>
        </w:rPr>
        <w:t xml:space="preserve"> </w:t>
      </w:r>
      <w:r>
        <w:rPr>
          <w:b/>
          <w:color w:val="242424"/>
          <w:sz w:val="24"/>
          <w:szCs w:val="24"/>
        </w:rPr>
        <w:t>Highline College Recognized Nationally as a 2025 Leader College</w:t>
      </w:r>
    </w:p>
    <w:p w14:paraId="3B757B6F" w14:textId="77777777" w:rsidR="0055698B" w:rsidRDefault="0055698B">
      <w:pPr>
        <w:spacing w:after="160" w:line="256" w:lineRule="auto"/>
        <w:rPr>
          <w:color w:val="242424"/>
          <w:sz w:val="24"/>
          <w:szCs w:val="24"/>
          <w:highlight w:val="yellow"/>
        </w:rPr>
      </w:pPr>
    </w:p>
    <w:p w14:paraId="250D2D30" w14:textId="77777777" w:rsidR="0055698B" w:rsidRDefault="00000000">
      <w:pPr>
        <w:spacing w:after="160"/>
        <w:rPr>
          <w:color w:val="242424"/>
          <w:highlight w:val="cyan"/>
        </w:rPr>
      </w:pPr>
      <w:r>
        <w:rPr>
          <w:color w:val="242424"/>
        </w:rPr>
        <w:t xml:space="preserve">Highline College has been designated a Leader College by </w:t>
      </w:r>
      <w:hyperlink r:id="rId6">
        <w:r>
          <w:rPr>
            <w:color w:val="1155CC"/>
            <w:u w:val="single"/>
          </w:rPr>
          <w:t>Achieving the Dream</w:t>
        </w:r>
      </w:hyperlink>
      <w:r>
        <w:rPr>
          <w:color w:val="242424"/>
        </w:rPr>
        <w:t xml:space="preserve"> (ATD), a national nonprofit dedicated to advancing community colleges as accessible hubs of learning, credentialing, and economic mobility in their communities. </w:t>
      </w:r>
    </w:p>
    <w:p w14:paraId="058B5871" w14:textId="77777777" w:rsidR="0055698B" w:rsidRDefault="00000000">
      <w:pPr>
        <w:spacing w:after="160"/>
      </w:pPr>
      <w:r>
        <w:t xml:space="preserve">ATD named 23 institutions as either Leader Colleges or Leader Colleges of Distinction for 2025, celebrating their commitment to student success and institutional reform. </w:t>
      </w:r>
    </w:p>
    <w:p w14:paraId="4DCC9DE6" w14:textId="77777777" w:rsidR="0055698B" w:rsidRDefault="00000000">
      <w:pPr>
        <w:spacing w:after="160"/>
        <w:rPr>
          <w:color w:val="242424"/>
        </w:rPr>
      </w:pPr>
      <w:r>
        <w:rPr>
          <w:color w:val="242424"/>
          <w:highlight w:val="white"/>
        </w:rPr>
        <w:t>“Once again, Highline College is recognized for its care and concern and dedication to students. This recognition only highlights the work that all the staff and faculty do to support the students in hopes that they will succeed and soar,” said Highline College President Dr. John Mosby.</w:t>
      </w:r>
    </w:p>
    <w:p w14:paraId="3DD258E5" w14:textId="77777777" w:rsidR="0055698B" w:rsidRDefault="00000000">
      <w:pPr>
        <w:spacing w:after="160"/>
        <w:rPr>
          <w:color w:val="242424"/>
        </w:rPr>
      </w:pPr>
      <w:r>
        <w:rPr>
          <w:color w:val="242424"/>
        </w:rPr>
        <w:t xml:space="preserve">Leader Colleges play an important role in accelerating the adoption of effective practices within the ATD Network and across higher education. They are recognized for the quality of their work in whole-college reform, resulting in increased completion rates for all students. Leader Colleges develop innovative ways to work with other colleges to share knowledge and facilitate an exchange of ideas about evidence-based reform strategies. </w:t>
      </w:r>
    </w:p>
    <w:p w14:paraId="49A928F3" w14:textId="77777777" w:rsidR="0055698B" w:rsidRDefault="00000000">
      <w:pPr>
        <w:spacing w:after="160"/>
        <w:rPr>
          <w:color w:val="242424"/>
        </w:rPr>
      </w:pPr>
      <w:r>
        <w:rPr>
          <w:color w:val="242424"/>
        </w:rPr>
        <w:t>Highline is part of the ATD Network, made up of 300+ colleges committed to supporting student success at their institutions and promoting economic vitality throughout their communities. Highline joined ATD in 2006, became a Leader College in 2011 and held that distinction through 2021, before regaining it in 2025.</w:t>
      </w:r>
    </w:p>
    <w:p w14:paraId="7994D15C" w14:textId="77777777" w:rsidR="0055698B" w:rsidRDefault="00000000">
      <w:pPr>
        <w:spacing w:after="160"/>
        <w:rPr>
          <w:color w:val="242424"/>
        </w:rPr>
      </w:pPr>
      <w:r>
        <w:rPr>
          <w:color w:val="242424"/>
        </w:rPr>
        <w:t>“We are proud to recognize our 2025 Leader Colleges and Leader Colleges of Distinction for their extraordinary commitment to student success,” said Dr. Karen A. Stout, president and CEO of Achieving the Dream. “These colleges exemplify excellence within the ATD Network, achieving measurable gains in student outcomes and fostering impactful change within their institutions and communities. Their dedication to using data-informed approaches to create meaningful opportunities for students and their communities serves as a powerful example for all institutions of higher education and especially for those in the ATD Network.”</w:t>
      </w:r>
    </w:p>
    <w:p w14:paraId="5D30A384" w14:textId="77777777" w:rsidR="0055698B" w:rsidRDefault="00000000">
      <w:pPr>
        <w:spacing w:after="160"/>
        <w:rPr>
          <w:color w:val="242424"/>
        </w:rPr>
      </w:pPr>
      <w:r>
        <w:rPr>
          <w:b/>
          <w:color w:val="242424"/>
        </w:rPr>
        <w:t xml:space="preserve">About Achieving the DREAM </w:t>
      </w:r>
      <w:r>
        <w:rPr>
          <w:color w:val="242424"/>
        </w:rPr>
        <w:t xml:space="preserve"> </w:t>
      </w:r>
    </w:p>
    <w:p w14:paraId="2DFDEAC7" w14:textId="77777777" w:rsidR="0055698B" w:rsidRDefault="00000000">
      <w:pPr>
        <w:spacing w:after="160"/>
        <w:rPr>
          <w:b/>
          <w:color w:val="242424"/>
          <w:highlight w:val="yellow"/>
        </w:rPr>
      </w:pPr>
      <w:r>
        <w:rPr>
          <w:color w:val="242424"/>
        </w:rPr>
        <w:lastRenderedPageBreak/>
        <w:t xml:space="preserve">Achieving the Dream (ATD) is a partner and champion of more than 300 community colleges across the country. Drawing on expert coaches, groundbreaking programs, and national peer network, the organization provides institutions with integrated, tailored support for every aspect of their work — from foundational capacities such as leadership, data, and equity to intentional strategies for supporting students holistically, building K–12 partnerships, and more. ATD calls this Whole College Transformation. Its vision is for every college to be a catalyst for equitable and economically vibrant communities. ATD knows that with the right partner and the right approach, colleges can drive access, completion rates, and employment outcomes — so that all students can access life-changing learning that propels them into community-changing careers. </w:t>
      </w:r>
    </w:p>
    <w:p w14:paraId="01249662" w14:textId="77777777" w:rsidR="0055698B" w:rsidRDefault="0055698B">
      <w:pPr>
        <w:spacing w:after="160"/>
        <w:rPr>
          <w:b/>
          <w:strike/>
          <w:color w:val="242424"/>
        </w:rPr>
      </w:pPr>
    </w:p>
    <w:p w14:paraId="73A9E904" w14:textId="77777777" w:rsidR="0055698B" w:rsidRDefault="00000000">
      <w:pPr>
        <w:widowControl w:val="0"/>
        <w:tabs>
          <w:tab w:val="left" w:pos="216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p>
    <w:p w14:paraId="585D403B" w14:textId="77777777" w:rsidR="0055698B" w:rsidRDefault="0055698B">
      <w:pPr>
        <w:spacing w:after="240"/>
        <w:rPr>
          <w:rFonts w:ascii="Times New Roman" w:eastAsia="Times New Roman" w:hAnsi="Times New Roman" w:cs="Times New Roman"/>
          <w:strike/>
          <w:highlight w:val="yellow"/>
        </w:rPr>
      </w:pPr>
    </w:p>
    <w:p w14:paraId="0C75ED88" w14:textId="77777777" w:rsidR="0055698B" w:rsidRDefault="00000000">
      <w:pPr>
        <w:widowControl w:val="0"/>
        <w:tabs>
          <w:tab w:val="left" w:pos="216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Links within this release: </w:t>
      </w:r>
    </w:p>
    <w:p w14:paraId="23262292" w14:textId="77777777" w:rsidR="0055698B" w:rsidRDefault="00000000">
      <w:pPr>
        <w:widowControl w:val="0"/>
        <w:tabs>
          <w:tab w:val="left" w:pos="2160"/>
        </w:tabs>
        <w:spacing w:line="240" w:lineRule="auto"/>
        <w:ind w:left="-180"/>
        <w:rPr>
          <w:b/>
          <w:color w:val="242424"/>
        </w:rPr>
      </w:pPr>
      <w:r>
        <w:rPr>
          <w:rFonts w:ascii="Times New Roman" w:eastAsia="Times New Roman" w:hAnsi="Times New Roman" w:cs="Times New Roman"/>
          <w:color w:val="002451"/>
          <w:highlight w:val="white"/>
        </w:rPr>
        <w:t xml:space="preserve">    ● </w:t>
      </w:r>
      <w:hyperlink r:id="rId7">
        <w:r>
          <w:rPr>
            <w:rFonts w:ascii="Times New Roman" w:eastAsia="Times New Roman" w:hAnsi="Times New Roman" w:cs="Times New Roman"/>
            <w:color w:val="1155CC"/>
            <w:highlight w:val="white"/>
            <w:u w:val="single"/>
          </w:rPr>
          <w:t>https://achievingthedream.org/2025-lc-lcod/</w:t>
        </w:r>
      </w:hyperlink>
    </w:p>
    <w:p w14:paraId="0908FC4E" w14:textId="77777777" w:rsidR="0055698B" w:rsidRDefault="0055698B">
      <w:pPr>
        <w:spacing w:after="160"/>
        <w:rPr>
          <w:b/>
          <w:color w:val="242424"/>
        </w:rPr>
      </w:pPr>
    </w:p>
    <w:p w14:paraId="38C3F7D4" w14:textId="77777777" w:rsidR="0055698B" w:rsidRDefault="00000000">
      <w:pPr>
        <w:spacing w:after="160"/>
        <w:rPr>
          <w:b/>
          <w:color w:val="242424"/>
        </w:rPr>
      </w:pPr>
      <w:r>
        <w:rPr>
          <w:b/>
          <w:color w:val="242424"/>
        </w:rPr>
        <w:t>About Highline College</w:t>
      </w:r>
    </w:p>
    <w:p w14:paraId="51076265" w14:textId="77777777" w:rsidR="0055698B" w:rsidRDefault="00000000">
      <w:pPr>
        <w:spacing w:after="160"/>
        <w:rPr>
          <w:b/>
          <w:color w:val="242424"/>
          <w:sz w:val="24"/>
          <w:szCs w:val="24"/>
          <w:highlight w:val="yellow"/>
        </w:rPr>
      </w:pPr>
      <w:r>
        <w:rPr>
          <w:i/>
          <w:color w:val="242424"/>
        </w:rPr>
        <w:t xml:space="preserve">Founded in 1961 as the first community college in King County, Highline College annually serves 14,100 students. With more than 80 percent students of color, Highline is the most diverse higher education institution in the state. The college offers a wide range of academic transfer, professional-technical education, basic skills and applied bachelor’s degree programs. Alumni include former Seattle Mayor Norm Rice, internationally acclaimed author Ann Rule, entrepreneur </w:t>
      </w:r>
      <w:proofErr w:type="spellStart"/>
      <w:r>
        <w:rPr>
          <w:i/>
          <w:color w:val="242424"/>
        </w:rPr>
        <w:t>Junki</w:t>
      </w:r>
      <w:proofErr w:type="spellEnd"/>
      <w:r>
        <w:rPr>
          <w:i/>
          <w:color w:val="242424"/>
        </w:rPr>
        <w:t xml:space="preserve"> Yoshida, Dr. Tom Jackson, former president of Cal-Poly Humboldt and retired Army Lieutenant Colonel and nurse Sandra Cravens Robinson.</w:t>
      </w:r>
      <w:r>
        <w:rPr>
          <w:color w:val="242424"/>
        </w:rPr>
        <w:t xml:space="preserve">             </w:t>
      </w:r>
      <w:r>
        <w:rPr>
          <w:color w:val="242424"/>
          <w:sz w:val="24"/>
          <w:szCs w:val="24"/>
        </w:rPr>
        <w:t xml:space="preserve">                                </w:t>
      </w:r>
    </w:p>
    <w:p w14:paraId="2356A97D" w14:textId="77777777" w:rsidR="0055698B" w:rsidRDefault="0055698B">
      <w:pPr>
        <w:rPr>
          <w:sz w:val="24"/>
          <w:szCs w:val="24"/>
        </w:rPr>
      </w:pPr>
    </w:p>
    <w:p w14:paraId="4EB0F05C" w14:textId="77777777" w:rsidR="0055698B" w:rsidRDefault="0055698B">
      <w:pPr>
        <w:rPr>
          <w:sz w:val="24"/>
          <w:szCs w:val="24"/>
        </w:rPr>
      </w:pPr>
    </w:p>
    <w:p w14:paraId="7501CBFD" w14:textId="77777777" w:rsidR="0055698B" w:rsidRDefault="0055698B">
      <w:pPr>
        <w:rPr>
          <w:sz w:val="24"/>
          <w:szCs w:val="24"/>
        </w:rPr>
      </w:pPr>
    </w:p>
    <w:p w14:paraId="60FBAF8E" w14:textId="77777777" w:rsidR="0055698B" w:rsidRDefault="0055698B">
      <w:pPr>
        <w:rPr>
          <w:sz w:val="24"/>
          <w:szCs w:val="24"/>
        </w:rPr>
      </w:pPr>
    </w:p>
    <w:p w14:paraId="328AC429" w14:textId="77777777" w:rsidR="0055698B" w:rsidRDefault="0055698B">
      <w:pPr>
        <w:rPr>
          <w:sz w:val="24"/>
          <w:szCs w:val="24"/>
        </w:rPr>
      </w:pPr>
    </w:p>
    <w:p w14:paraId="1094301D" w14:textId="77777777" w:rsidR="0055698B" w:rsidRDefault="0055698B">
      <w:pPr>
        <w:rPr>
          <w:sz w:val="24"/>
          <w:szCs w:val="24"/>
        </w:rPr>
      </w:pPr>
    </w:p>
    <w:p w14:paraId="20068C7F" w14:textId="77777777" w:rsidR="0055698B" w:rsidRDefault="0055698B">
      <w:pPr>
        <w:shd w:val="clear" w:color="auto" w:fill="FFFFFF"/>
      </w:pPr>
    </w:p>
    <w:sectPr w:rsidR="0055698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98B"/>
    <w:rsid w:val="002E1B9A"/>
    <w:rsid w:val="0055698B"/>
    <w:rsid w:val="0091174F"/>
    <w:rsid w:val="00AD6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5E1BB"/>
  <w15:docId w15:val="{09AA5269-60F1-4A45-91A8-13F5D697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chievingthedream.org/2025-lc-lco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hievingthedream.org/2025-lc-lcod/" TargetMode="External"/><Relationship Id="rId5" Type="http://schemas.openxmlformats.org/officeDocument/2006/relationships/hyperlink" Target="mailto:junderwood@highline.ed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3569</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Underwood, Jess</cp:lastModifiedBy>
  <cp:revision>2</cp:revision>
  <dcterms:created xsi:type="dcterms:W3CDTF">2025-02-26T22:32:00Z</dcterms:created>
  <dcterms:modified xsi:type="dcterms:W3CDTF">2025-02-26T22:32:00Z</dcterms:modified>
</cp:coreProperties>
</file>